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9D" w:rsidRDefault="00BE6C9D" w:rsidP="00BE6C9D">
      <w:pPr>
        <w:pStyle w:val="TOCTitle"/>
      </w:pPr>
      <w:bookmarkStart w:id="0" w:name="_GoBack"/>
      <w:bookmarkEnd w:id="0"/>
      <w:r>
        <w:t>Table of Contents</w:t>
      </w:r>
    </w:p>
    <w:p w:rsidR="00BE6C9D" w:rsidRDefault="00BE6C9D" w:rsidP="00BE6C9D">
      <w:pPr>
        <w:pStyle w:val="MemoLine"/>
      </w:pPr>
    </w:p>
    <w:p w:rsidR="005D2BE1" w:rsidRPr="005452D5" w:rsidRDefault="00BE6C9D">
      <w:pPr>
        <w:pStyle w:val="TOC2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r w:rsidRPr="00E7391E">
        <w:fldChar w:fldCharType="begin"/>
      </w:r>
      <w:r>
        <w:instrText xml:space="preserve"> TOC \o "1-5" \h </w:instrText>
      </w:r>
      <w:r w:rsidRPr="00E7391E">
        <w:fldChar w:fldCharType="separate"/>
      </w:r>
      <w:hyperlink w:anchor="_Toc482620039" w:history="1">
        <w:r w:rsidR="005D2BE1" w:rsidRPr="00431EA2">
          <w:rPr>
            <w:rStyle w:val="Hyperlink"/>
            <w:noProof/>
          </w:rPr>
          <w:t>Chapter 3.  Inquiry Routing and Information System (IRIS)</w:t>
        </w:r>
        <w:r w:rsidR="005D2BE1">
          <w:rPr>
            <w:noProof/>
          </w:rPr>
          <w:tab/>
        </w:r>
        <w:r w:rsidR="005D2BE1">
          <w:rPr>
            <w:noProof/>
          </w:rPr>
          <w:fldChar w:fldCharType="begin"/>
        </w:r>
        <w:r w:rsidR="005D2BE1">
          <w:rPr>
            <w:noProof/>
          </w:rPr>
          <w:instrText xml:space="preserve"> PAGEREF _Toc482620039 \h </w:instrText>
        </w:r>
        <w:r w:rsidR="005D2BE1">
          <w:rPr>
            <w:noProof/>
          </w:rPr>
        </w:r>
        <w:r w:rsidR="005D2BE1">
          <w:rPr>
            <w:noProof/>
          </w:rPr>
          <w:fldChar w:fldCharType="separate"/>
        </w:r>
        <w:r w:rsidR="008843C9">
          <w:rPr>
            <w:noProof/>
          </w:rPr>
          <w:t>2</w:t>
        </w:r>
        <w:r w:rsidR="005D2BE1">
          <w:rPr>
            <w:noProof/>
          </w:rPr>
          <w:fldChar w:fldCharType="end"/>
        </w:r>
      </w:hyperlink>
    </w:p>
    <w:p w:rsidR="005D2BE1" w:rsidRPr="005452D5" w:rsidRDefault="005D2BE1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0" w:history="1">
        <w:r w:rsidRPr="00431EA2">
          <w:rPr>
            <w:rStyle w:val="Hyperlink"/>
            <w:noProof/>
          </w:rPr>
          <w:t>1.  IRIS Policy and Procedures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1" w:history="1">
        <w:r w:rsidRPr="00431EA2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2" w:history="1">
        <w:r w:rsidRPr="00431EA2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3" w:history="1">
        <w:r w:rsidRPr="00431EA2">
          <w:rPr>
            <w:rStyle w:val="Hyperlink"/>
            <w:noProof/>
          </w:rPr>
          <w:t>a. Background on IRIS Function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4" w:history="1">
        <w:r w:rsidRPr="00431EA2">
          <w:rPr>
            <w:rStyle w:val="Hyperlink"/>
            <w:noProof/>
          </w:rPr>
          <w:t>b. Definitions of Terms That Apply to IRIS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5" w:history="1">
        <w:r w:rsidRPr="00431EA2">
          <w:rPr>
            <w:rStyle w:val="Hyperlink"/>
            <w:noProof/>
          </w:rPr>
          <w:t xml:space="preserve">c. Request </w:t>
        </w:r>
        <w:r w:rsidR="005F7EE9">
          <w:rPr>
            <w:rStyle w:val="Hyperlink"/>
            <w:noProof/>
          </w:rPr>
          <w:t xml:space="preserve">access for </w:t>
        </w:r>
        <w:r w:rsidRPr="00431EA2">
          <w:rPr>
            <w:rStyle w:val="Hyperlink"/>
            <w:noProof/>
          </w:rPr>
          <w:t>new or reactive disabled user account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6" w:history="1">
        <w:r w:rsidRPr="00431EA2">
          <w:rPr>
            <w:rStyle w:val="Hyperlink"/>
            <w:noProof/>
          </w:rPr>
          <w:t>d. Use of E-Mail Responses for Development Purposes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7" w:history="1">
        <w:r w:rsidRPr="00431EA2">
          <w:rPr>
            <w:rStyle w:val="Hyperlink"/>
            <w:noProof/>
          </w:rPr>
          <w:t>e. Differences between IRIS and VA letterhead responses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D6DA2" w:rsidRPr="001D6DA2" w:rsidRDefault="005D2BE1">
      <w:pPr>
        <w:pStyle w:val="TOC5"/>
        <w:tabs>
          <w:tab w:val="right" w:leader="dot" w:pos="9350"/>
        </w:tabs>
        <w:rPr>
          <w:rStyle w:val="Hyperlink"/>
          <w:noProof/>
          <w:color w:val="auto"/>
          <w:u w:val="none"/>
        </w:rPr>
      </w:pPr>
      <w:hyperlink w:anchor="_Toc482620048" w:history="1">
        <w:r w:rsidRPr="00431EA2">
          <w:rPr>
            <w:rStyle w:val="Hyperlink"/>
            <w:noProof/>
          </w:rPr>
          <w:t>f. Determining Which Type of Response to Use</w:t>
        </w:r>
      </w:hyperlink>
      <w:r w:rsidR="001D6DA2">
        <w:rPr>
          <w:rStyle w:val="Hyperlink"/>
          <w:noProof/>
          <w:color w:val="auto"/>
          <w:u w:val="none"/>
        </w:rPr>
        <w:t>............................................................</w:t>
      </w:r>
      <w:r w:rsidR="008843C9">
        <w:rPr>
          <w:rStyle w:val="Hyperlink"/>
          <w:noProof/>
          <w:color w:val="auto"/>
          <w:u w:val="none"/>
        </w:rPr>
        <w:t xml:space="preserve"> </w:t>
      </w:r>
      <w:r w:rsidR="001D6DA2">
        <w:rPr>
          <w:rStyle w:val="Hyperlink"/>
          <w:noProof/>
          <w:color w:val="auto"/>
          <w:u w:val="none"/>
        </w:rPr>
        <w:t>4</w:t>
      </w:r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49" w:history="1">
        <w:r w:rsidRPr="00431EA2">
          <w:rPr>
            <w:rStyle w:val="Hyperlink"/>
            <w:noProof/>
          </w:rPr>
          <w:t>g. Responding as the Inquirer Requested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_Toc482620049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0" w:history="1">
        <w:r w:rsidRPr="00431EA2">
          <w:rPr>
            <w:rStyle w:val="Hyperlink"/>
            <w:noProof/>
          </w:rPr>
          <w:t>2.  IRIS Responses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1" w:history="1">
        <w:r w:rsidRPr="00431EA2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2" w:history="1">
        <w:r w:rsidRPr="00431EA2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3" w:history="1">
        <w:r w:rsidRPr="00431EA2">
          <w:rPr>
            <w:rStyle w:val="Hyperlink"/>
            <w:noProof/>
          </w:rPr>
          <w:t>a. IRIS Links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4" w:history="1">
        <w:r w:rsidRPr="00431EA2">
          <w:rPr>
            <w:rStyle w:val="Hyperlink"/>
            <w:noProof/>
          </w:rPr>
          <w:t>b. General Steps for Responding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5" w:history="1">
        <w:r w:rsidRPr="00431EA2">
          <w:rPr>
            <w:rStyle w:val="Hyperlink"/>
            <w:noProof/>
          </w:rPr>
          <w:t>c. Preparing the Response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6" w:history="1">
        <w:r w:rsidRPr="00431EA2">
          <w:rPr>
            <w:rStyle w:val="Hyperlink"/>
            <w:noProof/>
          </w:rPr>
          <w:t>d. IRIS Referrals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7" w:history="1">
        <w:r w:rsidRPr="00431EA2">
          <w:rPr>
            <w:rStyle w:val="Hyperlink"/>
            <w:noProof/>
          </w:rPr>
          <w:t xml:space="preserve">e. </w:t>
        </w:r>
        <w:r w:rsidR="0000693B">
          <w:rPr>
            <w:rStyle w:val="Hyperlink"/>
            <w:noProof/>
          </w:rPr>
          <w:t>Repetitive</w:t>
        </w:r>
        <w:r w:rsidRPr="00431EA2">
          <w:rPr>
            <w:rStyle w:val="Hyperlink"/>
            <w:noProof/>
          </w:rPr>
          <w:t xml:space="preserve"> Mail Closing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8" w:history="1">
        <w:r w:rsidRPr="00431EA2">
          <w:rPr>
            <w:rStyle w:val="Hyperlink"/>
            <w:noProof/>
          </w:rPr>
          <w:t>f. Signature Block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59" w:history="1">
        <w:r w:rsidRPr="00431EA2">
          <w:rPr>
            <w:rStyle w:val="Hyperlink"/>
            <w:noProof/>
          </w:rPr>
          <w:t>g. Attachments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_Toc482620059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C212B9" w:rsidRDefault="00C212B9" w:rsidP="00C94623">
      <w:pPr>
        <w:ind w:firstLine="720"/>
        <w:rPr>
          <w:noProof/>
        </w:rPr>
      </w:pPr>
      <w:r w:rsidRPr="00C212B9">
        <w:rPr>
          <w:noProof/>
        </w:rPr>
        <w:t>3. Timeliness Standard for Responses</w:t>
      </w:r>
      <w:r w:rsidR="00DF6C90">
        <w:rPr>
          <w:noProof/>
        </w:rPr>
        <w:t xml:space="preserve"> and Reports</w:t>
      </w:r>
      <w:r w:rsidR="00F012E4">
        <w:rPr>
          <w:noProof/>
        </w:rPr>
        <w:t>…………………………………….</w:t>
      </w:r>
      <w:r w:rsidR="00C94623">
        <w:rPr>
          <w:noProof/>
        </w:rPr>
        <w:t>.</w:t>
      </w:r>
      <w:r w:rsidR="000B0364">
        <w:rPr>
          <w:noProof/>
        </w:rPr>
        <w:t>..</w:t>
      </w:r>
      <w:r w:rsidR="008843C9">
        <w:rPr>
          <w:noProof/>
        </w:rPr>
        <w:t xml:space="preserve"> </w:t>
      </w:r>
      <w:r w:rsidR="000B0364">
        <w:rPr>
          <w:noProof/>
        </w:rPr>
        <w:t>9</w:t>
      </w:r>
    </w:p>
    <w:p w:rsidR="00F012E4" w:rsidRDefault="00F012E4" w:rsidP="00C94623">
      <w:pPr>
        <w:ind w:firstLine="720"/>
        <w:rPr>
          <w:noProof/>
        </w:rPr>
      </w:pPr>
      <w:r>
        <w:rPr>
          <w:noProof/>
        </w:rPr>
        <w:t xml:space="preserve">     Introduction …………………………………………………………………………</w:t>
      </w:r>
      <w:r w:rsidR="000B0364">
        <w:rPr>
          <w:noProof/>
        </w:rPr>
        <w:t>.</w:t>
      </w:r>
      <w:r w:rsidR="00C94623">
        <w:rPr>
          <w:noProof/>
        </w:rPr>
        <w:t>.</w:t>
      </w:r>
      <w:r w:rsidR="000B0364">
        <w:rPr>
          <w:noProof/>
        </w:rPr>
        <w:t>.</w:t>
      </w:r>
      <w:r w:rsidR="008843C9">
        <w:rPr>
          <w:noProof/>
        </w:rPr>
        <w:t xml:space="preserve"> </w:t>
      </w:r>
      <w:r w:rsidR="000B0364">
        <w:rPr>
          <w:noProof/>
        </w:rPr>
        <w:t>9</w:t>
      </w:r>
    </w:p>
    <w:p w:rsidR="00F012E4" w:rsidRDefault="00F012E4" w:rsidP="00C94623">
      <w:pPr>
        <w:ind w:firstLine="720"/>
        <w:rPr>
          <w:noProof/>
        </w:rPr>
      </w:pPr>
      <w:r>
        <w:rPr>
          <w:noProof/>
        </w:rPr>
        <w:t xml:space="preserve">     Change Date ……………………………………………………………………….</w:t>
      </w:r>
      <w:r w:rsidR="000B0364">
        <w:rPr>
          <w:noProof/>
        </w:rPr>
        <w:t>.</w:t>
      </w:r>
      <w:r>
        <w:rPr>
          <w:noProof/>
        </w:rPr>
        <w:t>..</w:t>
      </w:r>
      <w:r w:rsidR="00C94623">
        <w:rPr>
          <w:noProof/>
        </w:rPr>
        <w:t>.</w:t>
      </w:r>
      <w:r w:rsidR="008843C9">
        <w:rPr>
          <w:noProof/>
        </w:rPr>
        <w:t xml:space="preserve">. </w:t>
      </w:r>
      <w:r w:rsidR="000B0364">
        <w:rPr>
          <w:noProof/>
        </w:rPr>
        <w:t>9</w:t>
      </w:r>
    </w:p>
    <w:p w:rsidR="00F012E4" w:rsidRDefault="00F012E4" w:rsidP="00C94623">
      <w:pPr>
        <w:ind w:firstLine="720"/>
        <w:rPr>
          <w:noProof/>
        </w:rPr>
      </w:pPr>
      <w:r>
        <w:rPr>
          <w:noProof/>
        </w:rPr>
        <w:t xml:space="preserve">     a. Timeliness Standard for IRIS Response</w:t>
      </w:r>
      <w:r w:rsidR="000B0364">
        <w:rPr>
          <w:noProof/>
        </w:rPr>
        <w:t xml:space="preserve"> ………………………………………</w:t>
      </w:r>
      <w:r w:rsidR="008843C9">
        <w:rPr>
          <w:noProof/>
        </w:rPr>
        <w:t>.</w:t>
      </w:r>
      <w:r w:rsidR="000B0364">
        <w:rPr>
          <w:noProof/>
        </w:rPr>
        <w:t>..</w:t>
      </w:r>
      <w:r w:rsidR="008843C9">
        <w:rPr>
          <w:noProof/>
        </w:rPr>
        <w:t xml:space="preserve">.... </w:t>
      </w:r>
      <w:r w:rsidR="000B0364">
        <w:rPr>
          <w:noProof/>
        </w:rPr>
        <w:t>9</w:t>
      </w:r>
    </w:p>
    <w:p w:rsidR="00F012E4" w:rsidRPr="00C94623" w:rsidRDefault="00F012E4" w:rsidP="00C94623">
      <w:pPr>
        <w:ind w:firstLine="720"/>
        <w:rPr>
          <w:noProof/>
        </w:rPr>
      </w:pPr>
      <w:r>
        <w:rPr>
          <w:noProof/>
        </w:rPr>
        <w:t xml:space="preserve">     b. </w:t>
      </w:r>
      <w:r w:rsidR="003F5E49">
        <w:rPr>
          <w:noProof/>
        </w:rPr>
        <w:t xml:space="preserve">IRIS </w:t>
      </w:r>
      <w:r>
        <w:rPr>
          <w:noProof/>
        </w:rPr>
        <w:t>Reports………………………………………………………………………</w:t>
      </w:r>
      <w:r w:rsidR="00711E45">
        <w:rPr>
          <w:noProof/>
        </w:rPr>
        <w:t>.</w:t>
      </w:r>
      <w:r w:rsidR="000B0364">
        <w:rPr>
          <w:noProof/>
        </w:rPr>
        <w:t>.</w:t>
      </w:r>
      <w:r w:rsidR="008843C9">
        <w:rPr>
          <w:noProof/>
        </w:rPr>
        <w:t xml:space="preserve"> </w:t>
      </w:r>
      <w:r w:rsidR="000B0364">
        <w:rPr>
          <w:noProof/>
        </w:rPr>
        <w:t>9</w:t>
      </w:r>
    </w:p>
    <w:p w:rsidR="005D2BE1" w:rsidRPr="005452D5" w:rsidRDefault="005D2BE1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3" w:history="1">
        <w:r w:rsidRPr="00431EA2">
          <w:rPr>
            <w:rStyle w:val="Hyperlink"/>
            <w:noProof/>
          </w:rPr>
          <w:t>4.  IRIS Security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4" w:history="1">
        <w:r w:rsidRPr="00431EA2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5" w:history="1">
        <w:r w:rsidRPr="00431EA2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6" w:history="1">
        <w:r w:rsidRPr="00431EA2">
          <w:rPr>
            <w:rStyle w:val="Hyperlink"/>
            <w:noProof/>
          </w:rPr>
          <w:t>a. General Description of IRIS Security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7" w:history="1">
        <w:r w:rsidRPr="00431EA2">
          <w:rPr>
            <w:rStyle w:val="Hyperlink"/>
            <w:noProof/>
          </w:rPr>
          <w:t>b. IRIS Security Concerns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8" w:history="1">
        <w:r w:rsidRPr="00431EA2">
          <w:rPr>
            <w:rStyle w:val="Hyperlink"/>
            <w:noProof/>
          </w:rPr>
          <w:t>c. Use of Passwords in IRIS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69" w:history="1">
        <w:r w:rsidRPr="00431EA2">
          <w:rPr>
            <w:rStyle w:val="Hyperlink"/>
            <w:noProof/>
          </w:rPr>
          <w:t>5.  Reporting Work Credit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_Toc482620069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0" w:history="1">
        <w:r w:rsidRPr="00431EA2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1" w:history="1">
        <w:r w:rsidRPr="00431EA2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2" w:history="1">
        <w:r w:rsidRPr="00431EA2">
          <w:rPr>
            <w:rStyle w:val="Hyperlink"/>
            <w:noProof/>
          </w:rPr>
          <w:t>a. Reporting Work Credit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3" w:history="1">
        <w:r w:rsidRPr="00431EA2">
          <w:rPr>
            <w:rStyle w:val="Hyperlink"/>
            <w:noProof/>
          </w:rPr>
          <w:t>6.  IRIS-Related References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4" w:history="1">
        <w:r w:rsidRPr="00431EA2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5" w:history="1">
        <w:r w:rsidRPr="00431EA2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5D2BE1" w:rsidRPr="005452D5" w:rsidRDefault="005D2BE1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82620076" w:history="1">
        <w:r w:rsidRPr="00431EA2">
          <w:rPr>
            <w:rStyle w:val="Hyperlink"/>
            <w:noProof/>
          </w:rPr>
          <w:t>a. IRIS Related References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_Toc482620076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8843C9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FC58D0" w:rsidRDefault="00BE6C9D" w:rsidP="00BE6C9D">
      <w:pPr>
        <w:pStyle w:val="MemoLine"/>
      </w:pPr>
      <w:r>
        <w:fldChar w:fldCharType="end"/>
      </w:r>
    </w:p>
    <w:p w:rsidR="00FC58D0" w:rsidRDefault="00FC58D0" w:rsidP="00FC58D0"/>
    <w:p w:rsidR="00583302" w:rsidRDefault="00FC58D0">
      <w:pPr>
        <w:pStyle w:val="Heading2"/>
      </w:pPr>
      <w:r>
        <w:br w:type="page"/>
      </w:r>
      <w:bookmarkStart w:id="1" w:name="_Toc482620039"/>
      <w:r w:rsidR="00583302">
        <w:lastRenderedPageBreak/>
        <w:t>Chapter</w:t>
      </w:r>
      <w:r w:rsidR="00D9692F">
        <w:t xml:space="preserve"> 3</w:t>
      </w:r>
      <w:r w:rsidR="00583302">
        <w:t>.  Inquiry Routing and Information System (IRIS)</w:t>
      </w:r>
      <w:bookmarkEnd w:id="1"/>
    </w:p>
    <w:p w:rsidR="00583302" w:rsidRDefault="00583302">
      <w:pPr>
        <w:pStyle w:val="Heading4"/>
      </w:pPr>
      <w:bookmarkStart w:id="2" w:name="_Toc482620040"/>
      <w:r>
        <w:t>1.  IRIS Policy and Procedures</w:t>
      </w:r>
      <w:bookmarkEnd w:id="2"/>
    </w:p>
    <w:p w:rsidR="00583302" w:rsidRDefault="00583302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3" w:name="_Toc482620041"/>
            <w:r>
              <w:t>Introduction</w:t>
            </w:r>
            <w:bookmarkEnd w:id="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This topic contains information on Inquiry Routing and Information System (IRIS) policy and procedures, including: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background on the IRIS function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definitions of terms that apply to IRIS</w:t>
            </w:r>
          </w:p>
          <w:p w:rsidR="00F63D46" w:rsidRDefault="00F63D46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request new or reactivate</w:t>
            </w:r>
            <w:r w:rsidR="00096EAD">
              <w:t xml:space="preserve"> disabled </w:t>
            </w:r>
            <w:r>
              <w:t>user account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the use of e-mail responses for development purposes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 xml:space="preserve">the differences between e-mail, IRIS, and hard-copy letters 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determining which type of response to use, and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 xml:space="preserve">responding as the </w:t>
            </w:r>
            <w:r w:rsidR="006A452B">
              <w:t>inquirer</w:t>
            </w:r>
            <w:r>
              <w:t xml:space="preserve"> requested.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4" w:name="_Toc482620042"/>
            <w:r>
              <w:t>Change Date</w:t>
            </w:r>
            <w:bookmarkEnd w:id="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481BF6">
              <w:t>, 2017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762B3E">
            <w:pPr>
              <w:pStyle w:val="Heading5"/>
            </w:pPr>
            <w:bookmarkStart w:id="5" w:name="_Toc482620043"/>
            <w:r>
              <w:t>a. Background</w:t>
            </w:r>
            <w:r w:rsidR="00583302">
              <w:t xml:space="preserve"> on IRIS Function</w:t>
            </w:r>
            <w:bookmarkEnd w:id="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 xml:space="preserve">The Inquiry Routing and Information System (IRIS) is the Department of Veterans Affairs (VA) Internet-based, public </w:t>
            </w:r>
            <w:r w:rsidR="006A452B">
              <w:t>inquiry</w:t>
            </w:r>
            <w:r>
              <w:t xml:space="preserve"> management system.  All electronic </w:t>
            </w:r>
            <w:r w:rsidR="006A452B">
              <w:t>inquiries</w:t>
            </w:r>
            <w:r>
              <w:t xml:space="preserve"> received from the public through VA Internet web sites will be directed to IRIS.</w:t>
            </w:r>
          </w:p>
          <w:p w:rsidR="00583302" w:rsidRDefault="00583302">
            <w:pPr>
              <w:pStyle w:val="BlockText"/>
            </w:pPr>
          </w:p>
          <w:p w:rsidR="00F86DBC" w:rsidRDefault="00583302" w:rsidP="00CD747A">
            <w:pPr>
              <w:pStyle w:val="BlockText"/>
            </w:pPr>
            <w:r>
              <w:t>IRIS provides VA customers with secure communication of personal data, should they voluntarily choose to send it to VA.</w:t>
            </w:r>
          </w:p>
        </w:tc>
      </w:tr>
    </w:tbl>
    <w:p w:rsidR="00583302" w:rsidRDefault="00583302">
      <w:pPr>
        <w:pStyle w:val="ContinuedOnNextPa"/>
      </w:pPr>
      <w:r>
        <w:t>Continued on next page</w:t>
      </w:r>
    </w:p>
    <w:p w:rsidR="00583302" w:rsidRDefault="00583302">
      <w:pPr>
        <w:shd w:val="clear" w:color="auto" w:fill="FFFFFF"/>
        <w:rPr>
          <w:rFonts w:ascii="MS Shell Dlg 2" w:hAnsi="MS Shell Dlg 2" w:cs="MS Shell Dlg 2"/>
          <w:sz w:val="18"/>
          <w:szCs w:val="18"/>
        </w:rPr>
      </w:pPr>
    </w:p>
    <w:p w:rsidR="00583302" w:rsidRDefault="00583302">
      <w:pPr>
        <w:pStyle w:val="MapTitleContinued"/>
        <w:rPr>
          <w:b w:val="0"/>
          <w:sz w:val="24"/>
        </w:rPr>
      </w:pPr>
      <w:r>
        <w:br w:type="page"/>
      </w:r>
      <w:fldSimple w:instr=" STYLEREF &quot;Map Title&quot; ">
        <w:r w:rsidR="008843C9">
          <w:rPr>
            <w:noProof/>
          </w:rPr>
          <w:t>1.  IRIS Policy and Procedures</w:t>
        </w:r>
      </w:fldSimple>
      <w:r>
        <w:t xml:space="preserve">, </w:t>
      </w:r>
      <w:r>
        <w:rPr>
          <w:b w:val="0"/>
          <w:sz w:val="24"/>
        </w:rPr>
        <w:t>Continued</w:t>
      </w:r>
    </w:p>
    <w:p w:rsidR="00583302" w:rsidRDefault="00583302">
      <w:pPr>
        <w:pStyle w:val="BlockLine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762B3E">
            <w:pPr>
              <w:pStyle w:val="Heading5"/>
            </w:pPr>
            <w:bookmarkStart w:id="6" w:name="_Toc482620044"/>
            <w:r>
              <w:t>b. Definitions</w:t>
            </w:r>
            <w:r w:rsidR="00583302">
              <w:t xml:space="preserve"> of Terms That Apply to IRIS</w:t>
            </w:r>
            <w:bookmarkEnd w:id="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The following definitions apply to IRIS: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/>
                <w:bCs/>
                <w:i/>
                <w:iCs/>
              </w:rPr>
              <w:t>Inquiry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r>
              <w:t>A question</w:t>
            </w:r>
            <w:r w:rsidR="006A452B">
              <w:t>, complaint, suggestion or other communication</w:t>
            </w:r>
            <w:r>
              <w:t xml:space="preserve"> submitted to VA from a Veteran, claimant, beneficiary, or other member of the public.  </w:t>
            </w:r>
          </w:p>
          <w:p w:rsidR="00583302" w:rsidRDefault="006C512E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/>
                <w:bCs/>
                <w:i/>
                <w:iCs/>
              </w:rPr>
              <w:t>Message</w:t>
            </w:r>
            <w:r>
              <w:t>:</w:t>
            </w:r>
            <w:r w:rsidR="00583302">
              <w:t xml:space="preserve"> </w:t>
            </w:r>
            <w:r w:rsidR="00A02EF5">
              <w:t xml:space="preserve">The </w:t>
            </w:r>
            <w:r w:rsidR="00583302">
              <w:t xml:space="preserve">term </w:t>
            </w:r>
            <w:r w:rsidR="005D41E7">
              <w:rPr>
                <w:b/>
                <w:bCs/>
                <w:i/>
                <w:iCs/>
              </w:rPr>
              <w:t>message</w:t>
            </w:r>
            <w:r w:rsidR="00816239">
              <w:rPr>
                <w:b/>
                <w:bCs/>
                <w:i/>
                <w:iCs/>
              </w:rPr>
              <w:t>,</w:t>
            </w:r>
            <w:r w:rsidR="00583302">
              <w:t xml:space="preserve"> as used in IRIS</w:t>
            </w:r>
            <w:r w:rsidR="00816239">
              <w:t>,</w:t>
            </w:r>
            <w:r w:rsidR="00583302">
              <w:t xml:space="preserve"> includes all types of electronic </w:t>
            </w:r>
            <w:r w:rsidR="00816239">
              <w:t>messages that VA receives</w:t>
            </w:r>
            <w:r w:rsidR="00CD1009">
              <w:t xml:space="preserve"> </w:t>
            </w:r>
            <w:r w:rsidR="00583302">
              <w:t xml:space="preserve">from the public and is synonymous with “correspondence.”  </w:t>
            </w:r>
          </w:p>
          <w:p w:rsidR="00651E09" w:rsidRDefault="00651E09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 w:rsidRPr="007C5A46">
              <w:rPr>
                <w:b/>
                <w:i/>
              </w:rPr>
              <w:t>Group</w:t>
            </w:r>
            <w:r w:rsidRPr="00651E09">
              <w:t>:  Departmental Stations responsible to respond to IRIS inquiries relating to topics associated with their area of responsibility</w:t>
            </w:r>
            <w:r w:rsidR="00A02EF5">
              <w:t>.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/>
                <w:bCs/>
                <w:i/>
                <w:iCs/>
              </w:rPr>
              <w:t>Responder</w:t>
            </w:r>
            <w:r>
              <w:t>:</w:t>
            </w:r>
            <w:r>
              <w:rPr>
                <w:b/>
                <w:bCs/>
              </w:rPr>
              <w:t xml:space="preserve">  </w:t>
            </w:r>
            <w:r>
              <w:t xml:space="preserve">A VA employee assigned to review and respond to IRIS </w:t>
            </w:r>
            <w:r w:rsidR="006A452B">
              <w:t>inquiries</w:t>
            </w:r>
            <w:r w:rsidR="00A02EF5">
              <w:t>.</w:t>
            </w:r>
          </w:p>
          <w:p w:rsidR="00583302" w:rsidRDefault="006A452B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/>
                <w:bCs/>
                <w:i/>
                <w:iCs/>
              </w:rPr>
              <w:t>Inquirer</w:t>
            </w:r>
            <w:r w:rsidR="00583302">
              <w:t>:</w:t>
            </w:r>
            <w:r w:rsidR="00583302">
              <w:rPr>
                <w:b/>
                <w:bCs/>
              </w:rPr>
              <w:t xml:space="preserve">  </w:t>
            </w:r>
            <w:r w:rsidR="00583302">
              <w:t xml:space="preserve">A Veteran, claimant, beneficiary, or other member of the public, who uses IRIS to convey a question, </w:t>
            </w:r>
            <w:r w:rsidR="00D2021E">
              <w:t xml:space="preserve">complaint, </w:t>
            </w:r>
            <w:r w:rsidR="0071117C">
              <w:t xml:space="preserve">compliment, </w:t>
            </w:r>
            <w:r w:rsidR="00D2021E">
              <w:t xml:space="preserve">suggestion or </w:t>
            </w:r>
            <w:r w:rsidR="0071117C">
              <w:t>status of claim or appeal</w:t>
            </w:r>
            <w:r w:rsidR="00C60486">
              <w:t xml:space="preserve"> request</w:t>
            </w:r>
            <w:r w:rsidR="0071117C">
              <w:t xml:space="preserve">, or </w:t>
            </w:r>
            <w:r w:rsidR="00D2021E">
              <w:t>other communication submitted to VA</w:t>
            </w:r>
            <w:r w:rsidR="00583302">
              <w:t>.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/>
                <w:bCs/>
                <w:i/>
                <w:iCs/>
              </w:rPr>
              <w:t>Veterans Assistance Inquiry (VAI)</w:t>
            </w:r>
            <w:r>
              <w:t xml:space="preserve">:  A VAI is </w:t>
            </w:r>
            <w:r w:rsidR="00E66ACC">
              <w:t>an annotation placed in the Subject field of an inquiry that is used to record and controls</w:t>
            </w:r>
            <w:r>
              <w:t xml:space="preserve"> an unresolved issue for a follow-up action subsequent to a personal contact (such as a telephone call or personal interview) with a member of the public.  </w:t>
            </w:r>
            <w:r>
              <w:rPr>
                <w:b/>
                <w:bCs/>
                <w:i/>
                <w:iCs/>
              </w:rPr>
              <w:t>Note</w:t>
            </w:r>
            <w:r>
              <w:t>:  IRIS is used to create and control VAIs.</w:t>
            </w:r>
          </w:p>
        </w:tc>
      </w:tr>
    </w:tbl>
    <w:p w:rsidR="00F63D46" w:rsidRDefault="00F63D46" w:rsidP="00F63D46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63D46" w:rsidTr="00F810FB">
        <w:trPr>
          <w:trHeight w:val="473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3D46" w:rsidRDefault="00F63D46" w:rsidP="00A02EF5">
            <w:pPr>
              <w:pStyle w:val="Heading5"/>
            </w:pPr>
            <w:bookmarkStart w:id="7" w:name="_Toc482620045"/>
            <w:r>
              <w:t xml:space="preserve">c. Request </w:t>
            </w:r>
            <w:r w:rsidR="005F7EE9">
              <w:t xml:space="preserve">access for </w:t>
            </w:r>
            <w:r>
              <w:t>new</w:t>
            </w:r>
            <w:r w:rsidR="00F810FB">
              <w:t xml:space="preserve"> user</w:t>
            </w:r>
            <w:r w:rsidR="00A02EF5">
              <w:t>,</w:t>
            </w:r>
            <w:r>
              <w:t xml:space="preserve"> reactive</w:t>
            </w:r>
            <w:r w:rsidR="00A02EF5">
              <w:t xml:space="preserve"> a</w:t>
            </w:r>
            <w:r w:rsidR="00096EAD">
              <w:t xml:space="preserve"> disabled </w:t>
            </w:r>
            <w:r>
              <w:t>user</w:t>
            </w:r>
            <w:r w:rsidR="00A02EF5">
              <w:t>, or remove a</w:t>
            </w:r>
            <w:r>
              <w:t xml:space="preserve"> </w:t>
            </w:r>
            <w:bookmarkEnd w:id="7"/>
            <w:r w:rsidR="00A02EF5">
              <w:t>user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63D46" w:rsidRDefault="00F63D46" w:rsidP="005452D5">
            <w:pPr>
              <w:pStyle w:val="BlockText"/>
            </w:pPr>
            <w:r>
              <w:t>To request</w:t>
            </w:r>
            <w:r w:rsidR="005F7EE9">
              <w:t xml:space="preserve"> access for </w:t>
            </w:r>
            <w:r>
              <w:t>a new</w:t>
            </w:r>
            <w:r w:rsidR="00A02EF5">
              <w:t xml:space="preserve"> user, </w:t>
            </w:r>
            <w:r w:rsidR="005F7EE9">
              <w:t xml:space="preserve"> </w:t>
            </w:r>
            <w:r>
              <w:t xml:space="preserve">reactivate </w:t>
            </w:r>
            <w:r w:rsidR="00096EAD">
              <w:t xml:space="preserve">a disabled </w:t>
            </w:r>
            <w:r>
              <w:t>user</w:t>
            </w:r>
            <w:r w:rsidR="00A02EF5">
              <w:t>, or remove</w:t>
            </w:r>
            <w:r>
              <w:t xml:space="preserve"> </w:t>
            </w:r>
            <w:r w:rsidR="00A02EF5">
              <w:t>a user</w:t>
            </w:r>
            <w:r w:rsidR="001727D0">
              <w:t>,</w:t>
            </w:r>
            <w:r w:rsidR="00A02EF5">
              <w:t xml:space="preserve"> </w:t>
            </w:r>
            <w:r w:rsidR="00BF4DEA">
              <w:t>a supervisor or co</w:t>
            </w:r>
            <w:r w:rsidR="00A02EF5">
              <w:t>a</w:t>
            </w:r>
            <w:r w:rsidR="00BF4DEA">
              <w:t>ch</w:t>
            </w:r>
            <w:r>
              <w:t xml:space="preserve"> </w:t>
            </w:r>
            <w:r w:rsidR="00BF4DEA">
              <w:t xml:space="preserve">will </w:t>
            </w:r>
            <w:r>
              <w:t>send the following information to the VA IRIS System Administrator Group</w:t>
            </w:r>
            <w:r w:rsidR="0057452F">
              <w:t xml:space="preserve"> (SAG)</w:t>
            </w:r>
            <w:r w:rsidR="00AD16EA">
              <w:t xml:space="preserve"> (</w:t>
            </w:r>
            <w:hyperlink r:id="rId8" w:history="1">
              <w:r w:rsidR="00AD16EA" w:rsidRPr="00A02EF5">
                <w:rPr>
                  <w:rStyle w:val="Hyperlink"/>
                </w:rPr>
                <w:t>vairissysadmin@med.va.gov)</w:t>
              </w:r>
            </w:hyperlink>
            <w:r>
              <w:t>:</w:t>
            </w:r>
          </w:p>
          <w:p w:rsidR="001727D0" w:rsidRDefault="001727D0" w:rsidP="005452D5">
            <w:pPr>
              <w:pStyle w:val="BlockText"/>
            </w:pPr>
          </w:p>
          <w:p w:rsidR="00AD16EA" w:rsidRPr="00AD16EA" w:rsidRDefault="00F810FB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Cs/>
                <w:iCs/>
              </w:rPr>
              <w:t>Name of new or reactivated</w:t>
            </w:r>
            <w:r w:rsidR="00AD16EA" w:rsidRPr="00AD16EA">
              <w:rPr>
                <w:bCs/>
                <w:iCs/>
              </w:rPr>
              <w:t xml:space="preserve"> user</w:t>
            </w:r>
          </w:p>
          <w:p w:rsidR="00AD16EA" w:rsidRPr="00AD16EA" w:rsidRDefault="00F810FB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Cs/>
                <w:iCs/>
              </w:rPr>
              <w:t>Email address of new or reactivated</w:t>
            </w:r>
            <w:r w:rsidR="00AD16EA">
              <w:rPr>
                <w:bCs/>
                <w:iCs/>
              </w:rPr>
              <w:t xml:space="preserve"> user</w:t>
            </w:r>
          </w:p>
          <w:p w:rsidR="00AD16EA" w:rsidRPr="00AD16EA" w:rsidRDefault="00AD16EA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Cs/>
                <w:iCs/>
              </w:rPr>
              <w:t>Gr</w:t>
            </w:r>
            <w:r w:rsidR="00F810FB">
              <w:rPr>
                <w:bCs/>
                <w:iCs/>
              </w:rPr>
              <w:t>oup to which the new or reactivated</w:t>
            </w:r>
            <w:r>
              <w:rPr>
                <w:bCs/>
                <w:iCs/>
              </w:rPr>
              <w:t xml:space="preserve"> user will be added</w:t>
            </w:r>
          </w:p>
          <w:p w:rsidR="00096EAD" w:rsidRPr="00096EAD" w:rsidRDefault="00AD16EA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rPr>
                <w:bCs/>
                <w:iCs/>
              </w:rPr>
              <w:t>Date user needs to be active (optional)</w:t>
            </w:r>
          </w:p>
          <w:p w:rsidR="00096EAD" w:rsidRDefault="00096EAD" w:rsidP="00D305F6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:rsidR="00F63D46" w:rsidRPr="00D305F6" w:rsidRDefault="00AD16EA" w:rsidP="00D1211D">
            <w:pPr>
              <w:pStyle w:val="BulletText1"/>
              <w:numPr>
                <w:ilvl w:val="0"/>
                <w:numId w:val="0"/>
              </w:numPr>
            </w:pPr>
            <w:r w:rsidRPr="00096EAD">
              <w:rPr>
                <w:szCs w:val="24"/>
              </w:rPr>
              <w:t xml:space="preserve">A member of the VA </w:t>
            </w:r>
            <w:r w:rsidR="0057452F">
              <w:rPr>
                <w:szCs w:val="24"/>
              </w:rPr>
              <w:t>SAG</w:t>
            </w:r>
            <w:r w:rsidRPr="00096EAD">
              <w:rPr>
                <w:szCs w:val="24"/>
              </w:rPr>
              <w:t xml:space="preserve"> will </w:t>
            </w:r>
            <w:r w:rsidR="00096EAD" w:rsidRPr="00096EAD">
              <w:t>establish</w:t>
            </w:r>
            <w:r w:rsidR="00F810FB">
              <w:t>/</w:t>
            </w:r>
            <w:r w:rsidR="00096EAD" w:rsidRPr="00096EAD">
              <w:t xml:space="preserve"> reactivate a</w:t>
            </w:r>
            <w:r w:rsidR="00F810FB">
              <w:t>n</w:t>
            </w:r>
            <w:r w:rsidR="00096EAD" w:rsidRPr="00096EAD">
              <w:t xml:space="preserve"> account</w:t>
            </w:r>
            <w:r w:rsidRPr="00096EAD">
              <w:rPr>
                <w:szCs w:val="24"/>
              </w:rPr>
              <w:t xml:space="preserve"> either within 1 business day or according </w:t>
            </w:r>
            <w:r w:rsidR="00A02EF5">
              <w:rPr>
                <w:szCs w:val="24"/>
              </w:rPr>
              <w:t xml:space="preserve">to </w:t>
            </w:r>
            <w:r w:rsidRPr="00096EAD">
              <w:rPr>
                <w:szCs w:val="24"/>
              </w:rPr>
              <w:t xml:space="preserve">the date provided. </w:t>
            </w:r>
            <w:r w:rsidRPr="00096EAD">
              <w:t>Once the account has been established</w:t>
            </w:r>
            <w:r w:rsidR="00F810FB">
              <w:t>/</w:t>
            </w:r>
            <w:r w:rsidRPr="00096EAD">
              <w:t xml:space="preserve"> reactiv</w:t>
            </w:r>
            <w:r w:rsidR="00EB3737">
              <w:t>at</w:t>
            </w:r>
            <w:r w:rsidRPr="00096EAD">
              <w:t>e</w:t>
            </w:r>
            <w:r w:rsidR="00EB3737">
              <w:t>d</w:t>
            </w:r>
            <w:r w:rsidR="00C1447D">
              <w:t>, the</w:t>
            </w:r>
            <w:r w:rsidRPr="00096EAD">
              <w:t xml:space="preserve"> user will receive two notification emails</w:t>
            </w:r>
            <w:r w:rsidR="0057452F">
              <w:t>:</w:t>
            </w:r>
            <w:r w:rsidRPr="00096EAD">
              <w:t xml:space="preserve"> a welcome email which will include instructions for the IRIS interface and a ListServ notification which will inform the new user or reactiv</w:t>
            </w:r>
            <w:r w:rsidR="00EB3737">
              <w:t>ated</w:t>
            </w:r>
            <w:r w:rsidRPr="00096EAD">
              <w:t xml:space="preserve"> </w:t>
            </w:r>
            <w:r w:rsidR="0057452F">
              <w:t>a</w:t>
            </w:r>
            <w:r w:rsidR="0057452F" w:rsidRPr="00096EAD">
              <w:t xml:space="preserve"> </w:t>
            </w:r>
            <w:r w:rsidRPr="00096EAD">
              <w:t>user that has been added to the ListServ Announcement list</w:t>
            </w:r>
            <w:r w:rsidR="00096EAD" w:rsidRPr="00096EAD">
              <w:t xml:space="preserve">.  </w:t>
            </w:r>
            <w:r w:rsidR="00D1211D">
              <w:t xml:space="preserve">When sending an email either to add, reactive a disabled user or remove a user, in the subject line indicate either the request is to add, reactivate or remove as appropriate. </w:t>
            </w:r>
          </w:p>
        </w:tc>
      </w:tr>
    </w:tbl>
    <w:p w:rsidR="00F810FB" w:rsidRDefault="00F810FB" w:rsidP="00F810FB">
      <w:pPr>
        <w:pStyle w:val="ContinuedOnNextPa"/>
      </w:pPr>
      <w:r>
        <w:t>Continued on next page</w:t>
      </w:r>
    </w:p>
    <w:p w:rsidR="00583302" w:rsidRDefault="00583302">
      <w:pPr>
        <w:pStyle w:val="MapTitleContinued"/>
        <w:rPr>
          <w:b w:val="0"/>
          <w:sz w:val="24"/>
        </w:rPr>
      </w:pPr>
      <w:r>
        <w:br w:type="page"/>
      </w:r>
      <w:fldSimple w:instr=" STYLEREF &quot;Map Title&quot; ">
        <w:r w:rsidR="008843C9">
          <w:rPr>
            <w:noProof/>
          </w:rPr>
          <w:t>1.  IRIS Policy and Procedures</w:t>
        </w:r>
      </w:fldSimple>
      <w:r>
        <w:t xml:space="preserve">, </w:t>
      </w:r>
      <w:r>
        <w:rPr>
          <w:b w:val="0"/>
          <w:sz w:val="24"/>
        </w:rPr>
        <w:t>Continued</w:t>
      </w:r>
    </w:p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BF4DEA">
            <w:pPr>
              <w:pStyle w:val="Heading5"/>
            </w:pPr>
            <w:bookmarkStart w:id="8" w:name="_Toc482620046"/>
            <w:r>
              <w:t>d</w:t>
            </w:r>
            <w:r w:rsidR="00762B3E">
              <w:t>. Use</w:t>
            </w:r>
            <w:r w:rsidR="00583302">
              <w:t xml:space="preserve"> of E-Mail Responses for Development Purposes</w:t>
            </w:r>
            <w:bookmarkEnd w:id="8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 xml:space="preserve">Any </w:t>
            </w:r>
            <w:r w:rsidR="006A452B">
              <w:t xml:space="preserve">inquirer </w:t>
            </w:r>
            <w:r>
              <w:t>response by e-mail shall be considered an “official” response and shall be processed following the steps as indicated below:</w:t>
            </w:r>
          </w:p>
          <w:p w:rsidR="00583302" w:rsidRDefault="00583302">
            <w:pPr>
              <w:pStyle w:val="BlockText"/>
            </w:pPr>
          </w:p>
          <w:p w:rsidR="00583302" w:rsidRDefault="00583302">
            <w:pPr>
              <w:pStyle w:val="BlockText"/>
            </w:pPr>
          </w:p>
          <w:tbl>
            <w:tblPr>
              <w:tblW w:w="75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6626"/>
            </w:tblGrid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HeaderText"/>
                  </w:pPr>
                  <w:r>
                    <w:t>Step</w:t>
                  </w:r>
                </w:p>
              </w:tc>
              <w:tc>
                <w:tcPr>
                  <w:tcW w:w="4417" w:type="pct"/>
                </w:tcPr>
                <w:p w:rsidR="00583302" w:rsidRDefault="00583302">
                  <w:pPr>
                    <w:pStyle w:val="TableHeaderText"/>
                  </w:pPr>
                  <w:r>
                    <w:t>Action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417" w:type="pct"/>
                </w:tcPr>
                <w:p w:rsidR="00583302" w:rsidRDefault="00583302" w:rsidP="006A452B">
                  <w:pPr>
                    <w:pStyle w:val="TableText"/>
                  </w:pPr>
                  <w:r>
                    <w:t xml:space="preserve">Review </w:t>
                  </w:r>
                  <w:r w:rsidR="006A452B">
                    <w:t xml:space="preserve">inquiry </w:t>
                  </w:r>
                  <w:r>
                    <w:t>to determine if it is in response to a developmental request.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417" w:type="pct"/>
                </w:tcPr>
                <w:p w:rsidR="00583302" w:rsidRDefault="00583302">
                  <w:pPr>
                    <w:pStyle w:val="TableText"/>
                  </w:pPr>
                  <w:r>
                    <w:t>Respond to the inquiry.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417" w:type="pct"/>
                </w:tcPr>
                <w:p w:rsidR="00583302" w:rsidRDefault="00342E44" w:rsidP="007C5A46">
                  <w:pPr>
                    <w:pStyle w:val="TableText"/>
                  </w:pPr>
                  <w:r>
                    <w:t>Upload a copy of the inquiry and the response</w:t>
                  </w:r>
                  <w:r w:rsidR="004E0167">
                    <w:t xml:space="preserve">, if delivered via letter, </w:t>
                  </w:r>
                  <w:r>
                    <w:t>into the appropriate eFolder.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417" w:type="pct"/>
                </w:tcPr>
                <w:p w:rsidR="00583302" w:rsidRDefault="00583302">
                  <w:pPr>
                    <w:pStyle w:val="TableText"/>
                  </w:pPr>
                  <w:r>
                    <w:t>Provide a copy to the claimant’s POA (if applicable).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417" w:type="pct"/>
                </w:tcPr>
                <w:p w:rsidR="00583302" w:rsidRDefault="00583302" w:rsidP="00EB3737">
                  <w:pPr>
                    <w:pStyle w:val="TableText"/>
                  </w:pPr>
                  <w:r>
                    <w:t>Forward the inquiry and response to the appropriate Service Center team</w:t>
                  </w:r>
                  <w:r w:rsidR="00DC0AC3">
                    <w:t xml:space="preserve"> for action</w:t>
                  </w:r>
                  <w:r>
                    <w:t>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583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417" w:type="pct"/>
                </w:tcPr>
                <w:p w:rsidR="00583302" w:rsidRDefault="00583302">
                  <w:pPr>
                    <w:pStyle w:val="TableText"/>
                  </w:pPr>
                  <w:r>
                    <w:t>Document all actions in Internal Notes</w:t>
                  </w:r>
                  <w:r w:rsidR="00342E44">
                    <w:t xml:space="preserve"> in IRIS and the system of records</w:t>
                  </w:r>
                  <w:r>
                    <w:t>.</w:t>
                  </w:r>
                </w:p>
              </w:tc>
            </w:tr>
          </w:tbl>
          <w:p w:rsidR="00583302" w:rsidRDefault="00583302">
            <w:pPr>
              <w:pStyle w:val="BlockText"/>
            </w:pPr>
            <w:r>
              <w:t xml:space="preserve"> </w:t>
            </w:r>
          </w:p>
          <w:p w:rsidR="00583302" w:rsidRDefault="00711E45" w:rsidP="00ED1D9C">
            <w:pPr>
              <w:pStyle w:val="NoteText"/>
            </w:pPr>
            <w:r>
              <w:rPr>
                <w:b/>
                <w:bCs/>
                <w:i/>
                <w:iCs/>
              </w:rPr>
              <w:t>Note</w:t>
            </w:r>
            <w:r>
              <w:t>: If</w:t>
            </w:r>
            <w:r w:rsidR="00583302">
              <w:t xml:space="preserve"> the power of attorney (POA) is sent a copy of the</w:t>
            </w:r>
            <w:r w:rsidR="00D2021E">
              <w:t xml:space="preserve"> </w:t>
            </w:r>
            <w:r w:rsidR="006A452B">
              <w:t>response via email</w:t>
            </w:r>
            <w:r w:rsidR="00583302">
              <w:t>, document this in Internal Notes</w:t>
            </w:r>
            <w:r w:rsidR="00342E44">
              <w:t xml:space="preserve"> in IRIS and the system of records</w:t>
            </w:r>
            <w:r w:rsidR="00583302">
              <w:t>.</w:t>
            </w:r>
          </w:p>
          <w:p w:rsidR="00583302" w:rsidRDefault="00583302" w:rsidP="00ED1D9C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</w:tbl>
    <w:p w:rsidR="00583302" w:rsidRDefault="00583302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 w:rsidTr="00483185">
        <w:trPr>
          <w:cantSplit/>
          <w:trHeight w:val="1620"/>
        </w:trPr>
        <w:tc>
          <w:tcPr>
            <w:tcW w:w="1728" w:type="dxa"/>
          </w:tcPr>
          <w:p w:rsidR="00583302" w:rsidRDefault="00BF4DEA" w:rsidP="00EA1F5A">
            <w:pPr>
              <w:pStyle w:val="Heading5"/>
            </w:pPr>
            <w:bookmarkStart w:id="9" w:name="_Toc482620047"/>
            <w:r>
              <w:t>e</w:t>
            </w:r>
            <w:r w:rsidR="00583302">
              <w:t xml:space="preserve">. Differences </w:t>
            </w:r>
            <w:r w:rsidR="00EA1F5A">
              <w:t>b</w:t>
            </w:r>
            <w:r w:rsidR="00583302">
              <w:t>etween</w:t>
            </w:r>
            <w:r w:rsidR="00762B3E">
              <w:t xml:space="preserve"> </w:t>
            </w:r>
            <w:r w:rsidR="00583302">
              <w:t>IRIS</w:t>
            </w:r>
            <w:r w:rsidR="00EA1F5A">
              <w:t xml:space="preserve"> and VA letterhead responses</w:t>
            </w:r>
            <w:bookmarkEnd w:id="9"/>
            <w:r w:rsidR="00583302">
              <w:t xml:space="preserve"> </w:t>
            </w:r>
          </w:p>
        </w:tc>
        <w:tc>
          <w:tcPr>
            <w:tcW w:w="7740" w:type="dxa"/>
          </w:tcPr>
          <w:p w:rsidR="00583302" w:rsidRDefault="00583302">
            <w:pPr>
              <w:pStyle w:val="BlockText"/>
            </w:pPr>
            <w:r>
              <w:t>Generally speaking, IRIS responses are less formal than responses prepared on VA letterhead.</w:t>
            </w:r>
          </w:p>
          <w:p w:rsidR="00583302" w:rsidRDefault="00583302">
            <w:pPr>
              <w:pStyle w:val="BlockText"/>
            </w:pPr>
          </w:p>
          <w:p w:rsidR="00583302" w:rsidRDefault="00583302">
            <w:pPr>
              <w:pStyle w:val="BlockText"/>
            </w:pPr>
            <w:r>
              <w:t xml:space="preserve">Responses to electronic </w:t>
            </w:r>
            <w:r w:rsidR="006A452B">
              <w:t>inquiries</w:t>
            </w:r>
            <w:r w:rsidR="00342E44">
              <w:t xml:space="preserve"> are </w:t>
            </w:r>
            <w:r>
              <w:t>typically shorter and do not have the “feel” of a traditional letter sent through the U.S. mail.</w:t>
            </w:r>
          </w:p>
          <w:p w:rsidR="00583302" w:rsidRDefault="00583302">
            <w:pPr>
              <w:pStyle w:val="BlockText"/>
            </w:pPr>
          </w:p>
          <w:p w:rsidR="00583302" w:rsidRDefault="00583302">
            <w:pPr>
              <w:pStyle w:val="BlockText"/>
            </w:pPr>
          </w:p>
        </w:tc>
      </w:tr>
    </w:tbl>
    <w:p w:rsidR="00583302" w:rsidRDefault="00583302">
      <w:pPr>
        <w:pStyle w:val="ContinuedOnNextP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452F" w:rsidTr="00C90692">
        <w:trPr>
          <w:cantSplit/>
        </w:trPr>
        <w:tc>
          <w:tcPr>
            <w:tcW w:w="1728" w:type="dxa"/>
          </w:tcPr>
          <w:p w:rsidR="0057452F" w:rsidRDefault="0057452F" w:rsidP="00C90692">
            <w:pPr>
              <w:pStyle w:val="Heading5"/>
            </w:pPr>
            <w:r>
              <w:t>f. Determining Which Type of Response to Use</w:t>
            </w:r>
          </w:p>
        </w:tc>
        <w:tc>
          <w:tcPr>
            <w:tcW w:w="7740" w:type="dxa"/>
          </w:tcPr>
          <w:p w:rsidR="0057452F" w:rsidRDefault="0057452F" w:rsidP="00C90692">
            <w:pPr>
              <w:pStyle w:val="BlockText"/>
            </w:pPr>
            <w:r>
              <w:t>The inquirer will indicate how he/she would like to receive his/her response.  The inquirer chooses one of three response types:</w:t>
            </w:r>
          </w:p>
          <w:p w:rsidR="0057452F" w:rsidRDefault="0057452F" w:rsidP="00C90692">
            <w:pPr>
              <w:pStyle w:val="BlockText"/>
            </w:pPr>
          </w:p>
          <w:p w:rsidR="0057452F" w:rsidRDefault="0057452F" w:rsidP="00C90692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a hardcopy letter sent through U.S. mail</w:t>
            </w:r>
          </w:p>
          <w:p w:rsidR="0057452F" w:rsidRDefault="0057452F" w:rsidP="00C90692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a telephone call</w:t>
            </w:r>
          </w:p>
          <w:p w:rsidR="0057452F" w:rsidRDefault="0057452F" w:rsidP="00C90692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an electronic response via email (IRIS).</w:t>
            </w:r>
          </w:p>
        </w:tc>
      </w:tr>
    </w:tbl>
    <w:p w:rsidR="00583302" w:rsidRDefault="00483185" w:rsidP="00483185">
      <w:pPr>
        <w:pStyle w:val="MapTitleContinued"/>
        <w:rPr>
          <w:b w:val="0"/>
          <w:sz w:val="24"/>
        </w:rPr>
      </w:pPr>
      <w:r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                                                                                                        </w:t>
      </w:r>
      <w:r w:rsidR="0057452F" w:rsidRPr="00AF1405">
        <w:rPr>
          <w:rFonts w:ascii="Times New Roman" w:hAnsi="Times New Roman" w:cs="Times New Roman"/>
          <w:b w:val="0"/>
          <w:i/>
          <w:sz w:val="20"/>
        </w:rPr>
        <w:t>Continued on next page</w:t>
      </w:r>
      <w:r w:rsidR="0057452F" w:rsidRPr="00AF1405">
        <w:rPr>
          <w:b w:val="0"/>
        </w:rPr>
        <w:t xml:space="preserve"> </w:t>
      </w:r>
      <w:r w:rsidR="00583302" w:rsidRPr="00AF1405">
        <w:rPr>
          <w:b w:val="0"/>
        </w:rPr>
        <w:br w:type="page"/>
      </w:r>
      <w:fldSimple w:instr=" STYLEREF &quot;Map Title&quot; ">
        <w:r w:rsidR="008843C9">
          <w:rPr>
            <w:noProof/>
          </w:rPr>
          <w:t>1.  IRIS Policy and Procedures</w:t>
        </w:r>
      </w:fldSimple>
      <w:r w:rsidR="00583302">
        <w:t xml:space="preserve">, </w:t>
      </w:r>
      <w:r w:rsidR="00583302">
        <w:rPr>
          <w:b w:val="0"/>
          <w:sz w:val="24"/>
        </w:rPr>
        <w:t>Continued</w:t>
      </w:r>
    </w:p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BF4DEA">
            <w:pPr>
              <w:pStyle w:val="Heading5"/>
            </w:pPr>
            <w:bookmarkStart w:id="10" w:name="_Toc482620049"/>
            <w:r>
              <w:t>g</w:t>
            </w:r>
            <w:r w:rsidR="00762B3E">
              <w:t>. Responding</w:t>
            </w:r>
            <w:r w:rsidR="00583302">
              <w:t xml:space="preserve"> as the </w:t>
            </w:r>
            <w:r w:rsidR="006A452B">
              <w:t>Inquirer</w:t>
            </w:r>
            <w:r w:rsidR="00583302">
              <w:t xml:space="preserve"> Requested</w:t>
            </w:r>
            <w:bookmarkEnd w:id="10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6225C" w:rsidRDefault="00583302">
            <w:pPr>
              <w:pStyle w:val="BlockText"/>
            </w:pPr>
            <w:r>
              <w:t xml:space="preserve">Every effort should be made to ensure that you respond to the </w:t>
            </w:r>
            <w:r w:rsidR="006A452B">
              <w:t>inquirer</w:t>
            </w:r>
            <w:r>
              <w:t xml:space="preserve"> as he/she requested.</w:t>
            </w:r>
            <w:r w:rsidR="002C42C5">
              <w:t xml:space="preserve">  </w:t>
            </w:r>
          </w:p>
          <w:p w:rsidR="0066225C" w:rsidRDefault="0066225C">
            <w:pPr>
              <w:pStyle w:val="BlockText"/>
            </w:pPr>
          </w:p>
          <w:p w:rsidR="00583302" w:rsidRDefault="00583302">
            <w:pPr>
              <w:pStyle w:val="BlockText"/>
            </w:pPr>
            <w:r>
              <w:t>There are circumstances, however, where you may not be able to respond as requested.  When that occurs, proceed as follows: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 xml:space="preserve">If the </w:t>
            </w:r>
            <w:r w:rsidR="006A452B">
              <w:t>inquirer</w:t>
            </w:r>
            <w:r>
              <w:t xml:space="preserve"> has requested a phone response, but cannot be reached by phone, leave a simple voice mail </w:t>
            </w:r>
            <w:r w:rsidR="006A452B">
              <w:t xml:space="preserve">message </w:t>
            </w:r>
            <w:r>
              <w:t>that you attempted a call and will call back</w:t>
            </w:r>
            <w:r w:rsidR="0057452F">
              <w:t xml:space="preserve"> once more</w:t>
            </w:r>
            <w:r>
              <w:t xml:space="preserve">.  </w:t>
            </w:r>
            <w:r w:rsidR="0057452F">
              <w:t>After two failed attempts to contact the inquirer</w:t>
            </w:r>
            <w:r w:rsidR="00361CA4">
              <w:t xml:space="preserve"> via telephone</w:t>
            </w:r>
            <w:r w:rsidR="0057452F">
              <w:t>, close the IRIS</w:t>
            </w:r>
            <w:r w:rsidR="00361CA4">
              <w:t xml:space="preserve"> as solved and annotate a private note, unable to contact with the specific dates and times indicated. </w:t>
            </w:r>
            <w:r>
              <w:rPr>
                <w:i/>
                <w:iCs/>
              </w:rPr>
              <w:t>Do not leave any personal information on the voice mail</w:t>
            </w:r>
            <w:r>
              <w:t>.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 xml:space="preserve">If there is no way to reach the </w:t>
            </w:r>
            <w:r w:rsidR="006A452B">
              <w:t>inquirer</w:t>
            </w:r>
            <w:r>
              <w:t xml:space="preserve"> electronically or by phone, respond via US Mail on VA letterhead</w:t>
            </w:r>
            <w:r w:rsidR="004E592E">
              <w:t xml:space="preserve"> an</w:t>
            </w:r>
            <w:r w:rsidR="00F402B6">
              <w:t>d</w:t>
            </w:r>
            <w:r w:rsidR="004E592E">
              <w:t xml:space="preserve"> annotate the content of the letter in an internal note.</w:t>
            </w:r>
          </w:p>
          <w:p w:rsidR="00545905" w:rsidRDefault="00545905">
            <w:pPr>
              <w:pStyle w:val="BlockText"/>
            </w:pPr>
          </w:p>
          <w:p w:rsidR="00583302" w:rsidRDefault="00B244A3" w:rsidP="006121FC">
            <w:pPr>
              <w:pStyle w:val="BlockText"/>
            </w:pPr>
            <w:r>
              <w:t xml:space="preserve">NOTE: </w:t>
            </w:r>
            <w:r w:rsidR="003B3EE5">
              <w:t xml:space="preserve">After responding to the inquirer, </w:t>
            </w:r>
            <w:r w:rsidR="00545905">
              <w:t>enter a</w:t>
            </w:r>
            <w:r w:rsidR="00AA3A21">
              <w:t>n Internal N</w:t>
            </w:r>
            <w:r w:rsidR="00545905">
              <w:t xml:space="preserve">ote into </w:t>
            </w:r>
            <w:r w:rsidR="00AA3A21">
              <w:t xml:space="preserve">IRIS and document the actions taken in </w:t>
            </w:r>
            <w:r w:rsidR="00545905">
              <w:t>the system of records</w:t>
            </w:r>
            <w:r w:rsidR="00AF1405">
              <w:t xml:space="preserve"> </w:t>
            </w:r>
            <w:r w:rsidR="00545905">
              <w:t xml:space="preserve">and </w:t>
            </w:r>
            <w:r w:rsidR="00616767">
              <w:t xml:space="preserve">upload a copy of the inquiry and </w:t>
            </w:r>
            <w:r w:rsidR="00545905">
              <w:t>any letters generated</w:t>
            </w:r>
            <w:r w:rsidR="00616767">
              <w:t xml:space="preserve"> into the appropriate eFolder.</w:t>
            </w:r>
          </w:p>
        </w:tc>
      </w:tr>
    </w:tbl>
    <w:p w:rsidR="00583302" w:rsidRDefault="00583302">
      <w:pPr>
        <w:pStyle w:val="BlockLine"/>
      </w:pPr>
    </w:p>
    <w:p w:rsidR="00483185" w:rsidRDefault="00483185">
      <w:pPr>
        <w:pStyle w:val="Heading4"/>
      </w:pPr>
      <w:bookmarkStart w:id="11" w:name="_Toc482620050"/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483185" w:rsidRDefault="00483185">
      <w:pPr>
        <w:pStyle w:val="Heading4"/>
      </w:pPr>
    </w:p>
    <w:p w:rsidR="00583302" w:rsidRDefault="009F2F80">
      <w:pPr>
        <w:pStyle w:val="Heading4"/>
      </w:pPr>
      <w:r>
        <w:br w:type="page"/>
      </w:r>
      <w:r w:rsidR="00583302">
        <w:lastRenderedPageBreak/>
        <w:t>2.  IRIS Responses</w:t>
      </w:r>
      <w:bookmarkEnd w:id="11"/>
    </w:p>
    <w:p w:rsidR="00583302" w:rsidRDefault="00583302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 w:rsidTr="00483185">
        <w:trPr>
          <w:trHeight w:val="232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12" w:name="_Toc482620051"/>
            <w:r>
              <w:t>Introduction</w:t>
            </w:r>
            <w:bookmarkEnd w:id="1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This topic contains information on IRIS responses, including: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IRIS links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general steps for responding</w:t>
            </w:r>
            <w:r w:rsidR="00C268AA">
              <w:t xml:space="preserve"> </w:t>
            </w:r>
          </w:p>
          <w:p w:rsidR="007C5A46" w:rsidRDefault="007C5A46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preparing the response</w:t>
            </w:r>
          </w:p>
          <w:p w:rsidR="006415D0" w:rsidRDefault="006415D0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IRIS referrals</w:t>
            </w:r>
          </w:p>
          <w:p w:rsidR="00583302" w:rsidRDefault="0000693B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repetitive</w:t>
            </w:r>
            <w:r w:rsidR="00583302">
              <w:t xml:space="preserve"> mail closing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signature block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attachments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13" w:name="_Toc482620052"/>
            <w:r>
              <w:t>Change Date</w:t>
            </w:r>
            <w:bookmarkEnd w:id="1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B244A3">
              <w:t>, 2017</w:t>
            </w:r>
          </w:p>
        </w:tc>
      </w:tr>
    </w:tbl>
    <w:p w:rsidR="00620DD8" w:rsidRDefault="00620DD8" w:rsidP="00620DD8">
      <w:pPr>
        <w:pStyle w:val="BlockLine"/>
      </w:pPr>
    </w:p>
    <w:p w:rsidR="00620DD8" w:rsidRPr="00620DD8" w:rsidRDefault="00620DD8" w:rsidP="00620D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240A63">
            <w:pPr>
              <w:pStyle w:val="Heading5"/>
            </w:pPr>
            <w:bookmarkStart w:id="14" w:name="_Toc482620053"/>
            <w:r>
              <w:t>a. IRIS</w:t>
            </w:r>
            <w:r w:rsidR="00583302">
              <w:t xml:space="preserve"> Links</w:t>
            </w:r>
            <w:bookmarkEnd w:id="1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Pr="00821ECC" w:rsidRDefault="00583302">
            <w:pPr>
              <w:pStyle w:val="BlockText"/>
            </w:pPr>
            <w:r w:rsidRPr="0023756F">
              <w:t xml:space="preserve">For more specific information on the </w:t>
            </w:r>
            <w:r w:rsidR="00A25639" w:rsidRPr="00821ECC">
              <w:t xml:space="preserve">use of the IRIS system and </w:t>
            </w:r>
            <w:r w:rsidRPr="00821ECC">
              <w:t>preparation of responses see:</w:t>
            </w:r>
          </w:p>
          <w:p w:rsidR="007C5A46" w:rsidRPr="00096EAD" w:rsidRDefault="00B244A3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  <w:rPr>
                <w:szCs w:val="24"/>
              </w:rPr>
            </w:pPr>
            <w:hyperlink r:id="rId9" w:history="1">
              <w:r w:rsidR="00B02C9F" w:rsidRPr="00B244A3">
                <w:rPr>
                  <w:rStyle w:val="Hyperlink"/>
                  <w:szCs w:val="24"/>
                </w:rPr>
                <w:t xml:space="preserve">IRIS </w:t>
              </w:r>
              <w:r w:rsidR="00B02C9F" w:rsidRPr="00B244A3">
                <w:rPr>
                  <w:rStyle w:val="Hyperlink"/>
                  <w:szCs w:val="24"/>
                </w:rPr>
                <w:t>R</w:t>
              </w:r>
              <w:r w:rsidR="00B02C9F" w:rsidRPr="00B244A3">
                <w:rPr>
                  <w:rStyle w:val="Hyperlink"/>
                  <w:szCs w:val="24"/>
                </w:rPr>
                <w:t>esponder Ins</w:t>
              </w:r>
              <w:r w:rsidR="00B02C9F" w:rsidRPr="00B244A3">
                <w:rPr>
                  <w:rStyle w:val="Hyperlink"/>
                  <w:szCs w:val="24"/>
                </w:rPr>
                <w:t>t</w:t>
              </w:r>
              <w:r w:rsidR="00B02C9F" w:rsidRPr="00B244A3">
                <w:rPr>
                  <w:rStyle w:val="Hyperlink"/>
                  <w:szCs w:val="24"/>
                </w:rPr>
                <w:t>r</w:t>
              </w:r>
              <w:r w:rsidR="00B02C9F" w:rsidRPr="00B244A3">
                <w:rPr>
                  <w:rStyle w:val="Hyperlink"/>
                  <w:szCs w:val="24"/>
                </w:rPr>
                <w:t>u</w:t>
              </w:r>
              <w:r w:rsidR="00B02C9F" w:rsidRPr="00B244A3">
                <w:rPr>
                  <w:rStyle w:val="Hyperlink"/>
                  <w:szCs w:val="24"/>
                </w:rPr>
                <w:t>c</w:t>
              </w:r>
              <w:r w:rsidR="00B02C9F" w:rsidRPr="00B244A3">
                <w:rPr>
                  <w:rStyle w:val="Hyperlink"/>
                  <w:szCs w:val="24"/>
                </w:rPr>
                <w:t>t</w:t>
              </w:r>
              <w:r w:rsidR="00B02C9F" w:rsidRPr="00B244A3">
                <w:rPr>
                  <w:rStyle w:val="Hyperlink"/>
                  <w:szCs w:val="24"/>
                </w:rPr>
                <w:t>ions: Le</w:t>
              </w:r>
              <w:r w:rsidR="00B02C9F" w:rsidRPr="00B244A3">
                <w:rPr>
                  <w:rStyle w:val="Hyperlink"/>
                  <w:szCs w:val="24"/>
                </w:rPr>
                <w:t>g</w:t>
              </w:r>
              <w:r w:rsidR="00B02C9F" w:rsidRPr="00B244A3">
                <w:rPr>
                  <w:rStyle w:val="Hyperlink"/>
                  <w:szCs w:val="24"/>
                </w:rPr>
                <w:t>acy Console</w:t>
              </w:r>
            </w:hyperlink>
            <w:r w:rsidR="00616767" w:rsidRPr="00096EAD">
              <w:rPr>
                <w:szCs w:val="24"/>
              </w:rPr>
              <w:t xml:space="preserve"> </w:t>
            </w:r>
          </w:p>
          <w:p w:rsidR="00B02C9F" w:rsidRPr="00942A7C" w:rsidRDefault="00B02C9F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  <w:rPr>
                <w:szCs w:val="24"/>
              </w:rPr>
            </w:pPr>
            <w:hyperlink r:id="rId10" w:tooltip="Click here for Responder Instructions in the new Standard Console" w:history="1">
              <w:r w:rsidRPr="00942A7C">
                <w:rPr>
                  <w:color w:val="234C9F"/>
                  <w:szCs w:val="24"/>
                  <w:u w:val="single"/>
                </w:rPr>
                <w:t>Respondin</w:t>
              </w:r>
              <w:r w:rsidRPr="00942A7C">
                <w:rPr>
                  <w:color w:val="234C9F"/>
                  <w:szCs w:val="24"/>
                  <w:u w:val="single"/>
                </w:rPr>
                <w:t xml:space="preserve">g </w:t>
              </w:r>
              <w:r w:rsidRPr="00942A7C">
                <w:rPr>
                  <w:color w:val="234C9F"/>
                  <w:szCs w:val="24"/>
                  <w:u w:val="single"/>
                </w:rPr>
                <w:t>t</w:t>
              </w:r>
              <w:r w:rsidRPr="00942A7C">
                <w:rPr>
                  <w:color w:val="234C9F"/>
                  <w:szCs w:val="24"/>
                  <w:u w:val="single"/>
                </w:rPr>
                <w:t>o Inquiries: Standard</w:t>
              </w:r>
              <w:r w:rsidRPr="00942A7C">
                <w:rPr>
                  <w:color w:val="234C9F"/>
                  <w:szCs w:val="24"/>
                  <w:u w:val="single"/>
                </w:rPr>
                <w:t xml:space="preserve"> </w:t>
              </w:r>
              <w:r w:rsidRPr="00942A7C">
                <w:rPr>
                  <w:color w:val="234C9F"/>
                  <w:szCs w:val="24"/>
                  <w:u w:val="single"/>
                </w:rPr>
                <w:t>Console</w:t>
              </w:r>
            </w:hyperlink>
            <w:r w:rsidR="00A60AFF" w:rsidRPr="00942A7C">
              <w:rPr>
                <w:szCs w:val="24"/>
              </w:rPr>
              <w:t xml:space="preserve"> </w:t>
            </w:r>
          </w:p>
          <w:p w:rsidR="00583302" w:rsidRPr="0023756F" w:rsidRDefault="009F57DE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  <w:rPr>
                <w:sz w:val="22"/>
                <w:szCs w:val="22"/>
              </w:rPr>
            </w:pPr>
            <w:hyperlink r:id="rId11" w:tooltip="Click here for instructions on Using Standard Texts" w:history="1">
              <w:r w:rsidRPr="00C94623">
                <w:rPr>
                  <w:rStyle w:val="Hyperlink"/>
                  <w:szCs w:val="24"/>
                </w:rPr>
                <w:t>Using St</w:t>
              </w:r>
              <w:r w:rsidRPr="00C94623">
                <w:rPr>
                  <w:rStyle w:val="Hyperlink"/>
                  <w:szCs w:val="24"/>
                </w:rPr>
                <w:t>a</w:t>
              </w:r>
              <w:r w:rsidRPr="00C94623">
                <w:rPr>
                  <w:rStyle w:val="Hyperlink"/>
                  <w:szCs w:val="24"/>
                </w:rPr>
                <w:t>n</w:t>
              </w:r>
              <w:r w:rsidRPr="00C94623">
                <w:rPr>
                  <w:rStyle w:val="Hyperlink"/>
                  <w:szCs w:val="24"/>
                </w:rPr>
                <w:t>d</w:t>
              </w:r>
              <w:r w:rsidRPr="00C94623">
                <w:rPr>
                  <w:rStyle w:val="Hyperlink"/>
                  <w:szCs w:val="24"/>
                </w:rPr>
                <w:t>ar</w:t>
              </w:r>
              <w:r w:rsidRPr="00C94623">
                <w:rPr>
                  <w:rStyle w:val="Hyperlink"/>
                  <w:szCs w:val="24"/>
                </w:rPr>
                <w:t>d</w:t>
              </w:r>
              <w:r w:rsidRPr="00C94623">
                <w:rPr>
                  <w:rStyle w:val="Hyperlink"/>
                  <w:szCs w:val="24"/>
                </w:rPr>
                <w:t xml:space="preserve"> Texts</w:t>
              </w:r>
            </w:hyperlink>
          </w:p>
        </w:tc>
      </w:tr>
    </w:tbl>
    <w:p w:rsidR="00583302" w:rsidRDefault="00583302" w:rsidP="00620DD8">
      <w:pPr>
        <w:pStyle w:val="MapTitleContinue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240A63">
            <w:pPr>
              <w:pStyle w:val="Heading5"/>
            </w:pPr>
            <w:bookmarkStart w:id="15" w:name="_Toc482620054"/>
            <w:r>
              <w:t>b. General</w:t>
            </w:r>
            <w:r w:rsidR="00583302">
              <w:t xml:space="preserve"> Steps for Responding</w:t>
            </w:r>
            <w:bookmarkEnd w:id="1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2A1C71">
            <w:pPr>
              <w:pStyle w:val="BlockText"/>
            </w:pPr>
            <w:r>
              <w:t>Below are</w:t>
            </w:r>
            <w:r w:rsidR="00583302">
              <w:t xml:space="preserve"> the general steps to follow when responding to an IRIS inquiry. </w:t>
            </w:r>
          </w:p>
          <w:p w:rsidR="00583302" w:rsidRDefault="00583302">
            <w:pPr>
              <w:pStyle w:val="BlockText"/>
            </w:pPr>
          </w:p>
          <w:tbl>
            <w:tblPr>
              <w:tblW w:w="75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488"/>
            </w:tblGrid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HeaderText"/>
                  </w:pPr>
                  <w:r>
                    <w:t>Step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HeaderText"/>
                  </w:pPr>
                  <w:r>
                    <w:t>Action</w:t>
                  </w:r>
                </w:p>
              </w:tc>
            </w:tr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325" w:type="pct"/>
                </w:tcPr>
                <w:p w:rsidR="00583302" w:rsidRDefault="004E592E" w:rsidP="004E592E">
                  <w:pPr>
                    <w:pStyle w:val="TableText"/>
                  </w:pPr>
                  <w:r>
                    <w:t>Open the inquiry and read the inquiry content.</w:t>
                  </w:r>
                </w:p>
              </w:tc>
            </w:tr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325" w:type="pct"/>
                </w:tcPr>
                <w:p w:rsidR="00583302" w:rsidRDefault="004E592E" w:rsidP="00B244A3">
                  <w:pPr>
                    <w:pStyle w:val="TableText"/>
                  </w:pPr>
                  <w:r>
                    <w:t xml:space="preserve">Determine if the inquiry is correctly assigned to you and your group.  If not, re-assign to the </w:t>
                  </w:r>
                  <w:r w:rsidR="007C5A46">
                    <w:t>correct group</w:t>
                  </w:r>
                  <w:r>
                    <w:t xml:space="preserve">. You may also need to change the Topic/Subtopic to something more in line to what the inquirer is asking about.  </w:t>
                  </w:r>
                  <w:r w:rsidR="00B244A3">
                    <w:t xml:space="preserve">Include a note as to why the inquiry is being reassigned. </w:t>
                  </w:r>
                  <w:r>
                    <w:t>After correcting these selections, click Save and Close.</w:t>
                  </w:r>
                  <w:r w:rsidR="00B244A3">
                    <w:t xml:space="preserve"> </w:t>
                  </w:r>
                </w:p>
              </w:tc>
            </w:tr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325" w:type="pct"/>
                </w:tcPr>
                <w:p w:rsidR="00583302" w:rsidRDefault="004E592E" w:rsidP="004E592E">
                  <w:pPr>
                    <w:pStyle w:val="TableText"/>
                  </w:pPr>
                  <w:r>
                    <w:t>If you determine that the inquiry is correctly yours, locate the information needed from any collateral sources to be able to respond.</w:t>
                  </w:r>
                </w:p>
              </w:tc>
            </w:tr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325" w:type="pct"/>
                </w:tcPr>
                <w:p w:rsidR="00583302" w:rsidRDefault="004E592E">
                  <w:pPr>
                    <w:pStyle w:val="TableText"/>
                  </w:pPr>
                  <w:r>
                    <w:t xml:space="preserve">Check the response method preferred by the inquirer. </w:t>
                  </w:r>
                </w:p>
              </w:tc>
            </w:tr>
            <w:tr w:rsidR="00583302" w:rsidTr="00AF1405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 xml:space="preserve">Respond to the </w:t>
                  </w:r>
                  <w:r w:rsidR="006A452B">
                    <w:t>inquiry</w:t>
                  </w:r>
                  <w:r>
                    <w:t>.</w:t>
                  </w:r>
                </w:p>
              </w:tc>
            </w:tr>
            <w:tr w:rsidR="00AF1405" w:rsidTr="00AF1405">
              <w:trPr>
                <w:trHeight w:val="144"/>
              </w:trPr>
              <w:tc>
                <w:tcPr>
                  <w:tcW w:w="675" w:type="pct"/>
                </w:tcPr>
                <w:p w:rsidR="00AF1405" w:rsidRDefault="00AF1405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325" w:type="pct"/>
                </w:tcPr>
                <w:p w:rsidR="00AF1405" w:rsidRDefault="00AF1405">
                  <w:pPr>
                    <w:pStyle w:val="TableText"/>
                  </w:pPr>
                  <w:r>
                    <w:t xml:space="preserve">Take credit for the action via EP 400 </w:t>
                  </w:r>
                  <w:r>
                    <w:rPr>
                      <w:i/>
                    </w:rPr>
                    <w:t>Correspondence</w:t>
                  </w:r>
                </w:p>
              </w:tc>
            </w:tr>
            <w:tr w:rsidR="00AF1405" w:rsidTr="00AF1405">
              <w:trPr>
                <w:trHeight w:val="144"/>
              </w:trPr>
              <w:tc>
                <w:tcPr>
                  <w:tcW w:w="675" w:type="pct"/>
                </w:tcPr>
                <w:p w:rsidR="00AF1405" w:rsidRDefault="00AF1405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4325" w:type="pct"/>
                </w:tcPr>
                <w:p w:rsidR="00AF1405" w:rsidRDefault="00AF1405">
                  <w:pPr>
                    <w:pStyle w:val="TableText"/>
                  </w:pPr>
                  <w:r>
                    <w:t>Enter a note into the inquiry and the system of records outlining the actions taken and the response provided to the inquirer</w:t>
                  </w:r>
                </w:p>
              </w:tc>
            </w:tr>
            <w:tr w:rsidR="00AF1405" w:rsidTr="00AF1405">
              <w:trPr>
                <w:trHeight w:val="144"/>
              </w:trPr>
              <w:tc>
                <w:tcPr>
                  <w:tcW w:w="675" w:type="pct"/>
                </w:tcPr>
                <w:p w:rsidR="00AF1405" w:rsidRDefault="00AF1405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4325" w:type="pct"/>
                </w:tcPr>
                <w:p w:rsidR="00AF1405" w:rsidRDefault="00AF1405">
                  <w:pPr>
                    <w:pStyle w:val="TableText"/>
                  </w:pPr>
                  <w:r>
                    <w:t>Upload a copy of the inquiry and the response, if delivered via letter, into the eFolder.</w:t>
                  </w:r>
                </w:p>
              </w:tc>
            </w:tr>
          </w:tbl>
          <w:p w:rsidR="00583302" w:rsidRDefault="00583302">
            <w:pPr>
              <w:pStyle w:val="BlockText"/>
            </w:pPr>
            <w:r>
              <w:t xml:space="preserve"> </w:t>
            </w:r>
          </w:p>
        </w:tc>
      </w:tr>
    </w:tbl>
    <w:p w:rsidR="00583302" w:rsidRDefault="00423A7B" w:rsidP="00423A7B">
      <w:pPr>
        <w:pStyle w:val="BlockLine"/>
        <w:jc w:val="right"/>
      </w:pPr>
      <w:r w:rsidRPr="00620DD8">
        <w:rPr>
          <w:i/>
          <w:sz w:val="20"/>
        </w:rPr>
        <w:t>Continued on next page</w:t>
      </w:r>
    </w:p>
    <w:p w:rsidR="00423A7B" w:rsidRDefault="00423A7B" w:rsidP="00423A7B"/>
    <w:p w:rsidR="00423A7B" w:rsidRDefault="00423A7B" w:rsidP="00423A7B">
      <w:pPr>
        <w:pStyle w:val="Heading4"/>
      </w:pPr>
      <w:r>
        <w:t xml:space="preserve">2.  IRIS Responses, </w:t>
      </w:r>
      <w:r w:rsidR="000B0364">
        <w:rPr>
          <w:b w:val="0"/>
          <w:sz w:val="24"/>
          <w:szCs w:val="24"/>
        </w:rPr>
        <w:t>C</w:t>
      </w:r>
      <w:r w:rsidRPr="000B0364">
        <w:rPr>
          <w:b w:val="0"/>
          <w:sz w:val="24"/>
          <w:szCs w:val="24"/>
        </w:rPr>
        <w:t>ontinued</w:t>
      </w:r>
    </w:p>
    <w:p w:rsidR="00423A7B" w:rsidRDefault="00423A7B" w:rsidP="00423A7B">
      <w:pPr>
        <w:pStyle w:val="BlockLine"/>
      </w:pPr>
    </w:p>
    <w:p w:rsidR="00423A7B" w:rsidRPr="00423A7B" w:rsidRDefault="00423A7B" w:rsidP="00423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240A63">
            <w:pPr>
              <w:pStyle w:val="Heading5"/>
            </w:pPr>
            <w:bookmarkStart w:id="16" w:name="_Toc482620055"/>
            <w:r>
              <w:t>c. Preparing</w:t>
            </w:r>
            <w:r w:rsidR="00583302">
              <w:t xml:space="preserve"> the Response</w:t>
            </w:r>
            <w:bookmarkEnd w:id="1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Follow the steps in the table below to ensure a high quality, professional response.</w:t>
            </w:r>
          </w:p>
          <w:p w:rsidR="00583302" w:rsidRDefault="00583302">
            <w:pPr>
              <w:pStyle w:val="BlockText"/>
            </w:pPr>
          </w:p>
          <w:tbl>
            <w:tblPr>
              <w:tblW w:w="75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6488"/>
            </w:tblGrid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HeaderText"/>
                  </w:pPr>
                  <w:r>
                    <w:t>Step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HeaderText"/>
                  </w:pPr>
                  <w:r>
                    <w:t>Action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>Use an appropriate salutation.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>Have information and/or notes for response ready and use, if appropriate, an overview sentence.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>Consider using headings within the response.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>Use the mandatory closing paragraph and signature block.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325" w:type="pct"/>
                </w:tcPr>
                <w:p w:rsidR="00583302" w:rsidRDefault="00583302">
                  <w:pPr>
                    <w:pStyle w:val="TableText"/>
                  </w:pPr>
                  <w:r>
                    <w:t>Edit the response.</w:t>
                  </w:r>
                </w:p>
              </w:tc>
            </w:tr>
            <w:tr w:rsidR="00583302">
              <w:trPr>
                <w:trHeight w:val="144"/>
              </w:trPr>
              <w:tc>
                <w:tcPr>
                  <w:tcW w:w="675" w:type="pct"/>
                </w:tcPr>
                <w:p w:rsidR="00583302" w:rsidRDefault="00583302">
                  <w:pPr>
                    <w:pStyle w:val="TableTex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325" w:type="pct"/>
                </w:tcPr>
                <w:p w:rsidR="00583302" w:rsidRDefault="00583302" w:rsidP="00C71316">
                  <w:pPr>
                    <w:pStyle w:val="TableText"/>
                  </w:pPr>
                  <w:r>
                    <w:t>Proofread the response.</w:t>
                  </w:r>
                  <w:r w:rsidR="0042109A">
                    <w:t xml:space="preserve"> Ensure response adequately addresses all aspects of the inquiry and provides accurate information</w:t>
                  </w:r>
                </w:p>
              </w:tc>
            </w:tr>
          </w:tbl>
          <w:p w:rsidR="00583302" w:rsidRDefault="00583302">
            <w:pPr>
              <w:pStyle w:val="BlockText"/>
            </w:pPr>
            <w:r>
              <w:t xml:space="preserve">  </w:t>
            </w:r>
          </w:p>
        </w:tc>
      </w:tr>
    </w:tbl>
    <w:p w:rsidR="00583302" w:rsidRDefault="00583302">
      <w:pPr>
        <w:pStyle w:val="ContinuedOnNextP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15D0" w:rsidRDefault="006415D0">
            <w:pPr>
              <w:pStyle w:val="Heading5"/>
            </w:pPr>
            <w:bookmarkStart w:id="17" w:name="_Toc482620056"/>
            <w:r>
              <w:t>d. IRIS Referrals</w:t>
            </w:r>
            <w:bookmarkEnd w:id="17"/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>
            <w:pPr>
              <w:pStyle w:val="Heading5"/>
            </w:pPr>
          </w:p>
          <w:p w:rsidR="006415D0" w:rsidRDefault="006415D0" w:rsidP="006415D0">
            <w:pPr>
              <w:pStyle w:val="Heading5"/>
            </w:pPr>
          </w:p>
          <w:p w:rsidR="006415D0" w:rsidRDefault="006415D0" w:rsidP="006415D0">
            <w:pPr>
              <w:pStyle w:val="Heading5"/>
            </w:pPr>
          </w:p>
          <w:p w:rsidR="006415D0" w:rsidRDefault="006415D0" w:rsidP="006415D0">
            <w:pPr>
              <w:pStyle w:val="Heading5"/>
            </w:pPr>
          </w:p>
          <w:p w:rsidR="006415D0" w:rsidRDefault="006415D0" w:rsidP="006415D0">
            <w:pPr>
              <w:pStyle w:val="Heading5"/>
            </w:pPr>
          </w:p>
          <w:p w:rsidR="00B244A3" w:rsidRDefault="00B244A3" w:rsidP="006415D0">
            <w:pPr>
              <w:pStyle w:val="Heading5"/>
            </w:pPr>
          </w:p>
          <w:p w:rsidR="00B244A3" w:rsidRDefault="00B244A3" w:rsidP="006415D0">
            <w:pPr>
              <w:pStyle w:val="Heading5"/>
            </w:pPr>
          </w:p>
          <w:p w:rsidR="00583302" w:rsidRDefault="006415D0" w:rsidP="006415D0">
            <w:pPr>
              <w:pStyle w:val="Heading5"/>
            </w:pPr>
            <w:bookmarkStart w:id="18" w:name="_Toc482620057"/>
            <w:r>
              <w:t>e</w:t>
            </w:r>
            <w:r w:rsidR="00D9692F">
              <w:t xml:space="preserve">. </w:t>
            </w:r>
            <w:r w:rsidR="0000693B">
              <w:t>Repetitive</w:t>
            </w:r>
            <w:r w:rsidR="00583302">
              <w:t xml:space="preserve"> Mail Closing</w:t>
            </w:r>
            <w:bookmarkEnd w:id="18"/>
            <w:r w:rsidR="00583302">
              <w:t xml:space="preserve">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415D0" w:rsidRDefault="006415D0" w:rsidP="006415D0">
            <w:r>
              <w:t xml:space="preserve">Most IRIS inquiries submitted by the public </w:t>
            </w:r>
            <w:r w:rsidR="005C20E4">
              <w:t xml:space="preserve">related to </w:t>
            </w:r>
            <w:r>
              <w:t>Compensation, Pension, Survivors</w:t>
            </w:r>
            <w:r w:rsidR="005C20E4">
              <w:t xml:space="preserve"> Benefits, </w:t>
            </w:r>
            <w:r>
              <w:t xml:space="preserve">and Appeals go directly to the </w:t>
            </w:r>
            <w:r w:rsidR="005C20E4">
              <w:t xml:space="preserve">National IRIS Response </w:t>
            </w:r>
            <w:r>
              <w:t>Center (</w:t>
            </w:r>
            <w:r w:rsidR="005C20E4">
              <w:t>N</w:t>
            </w:r>
            <w:r>
              <w:t>IRC) for a response.  Most of these inquiries are routine in nature and can be handled by the</w:t>
            </w:r>
            <w:r w:rsidR="005C20E4">
              <w:t xml:space="preserve"> N</w:t>
            </w:r>
            <w:r>
              <w:t>IRC staff without external assistance.</w:t>
            </w:r>
          </w:p>
          <w:p w:rsidR="006415D0" w:rsidRDefault="006415D0" w:rsidP="006415D0"/>
          <w:p w:rsidR="006415D0" w:rsidRDefault="006415D0" w:rsidP="00006346">
            <w:r>
              <w:t xml:space="preserve">If the </w:t>
            </w:r>
            <w:r w:rsidR="005C20E4">
              <w:t>N</w:t>
            </w:r>
            <w:r>
              <w:t xml:space="preserve">IRC lacks sufficient information to properly respond to the IRIS inquiry, the </w:t>
            </w:r>
            <w:r w:rsidR="005C20E4">
              <w:t>N</w:t>
            </w:r>
            <w:r>
              <w:t xml:space="preserve">IRC must request the information from the Veterans Service Center (VSC) of jurisdiction via an </w:t>
            </w:r>
            <w:r w:rsidR="005C20E4">
              <w:t>N</w:t>
            </w:r>
            <w:r>
              <w:t xml:space="preserve">IRC referral.  Once this information is received from the VSC, the </w:t>
            </w:r>
            <w:r w:rsidR="005C20E4">
              <w:t>N</w:t>
            </w:r>
            <w:r>
              <w:t>IRC prepares and releases the response and closes the IRIS inquiry.</w:t>
            </w:r>
          </w:p>
          <w:p w:rsidR="006415D0" w:rsidRDefault="00B244A3" w:rsidP="00006346">
            <w:r>
              <w:t>______________________________________________________________</w:t>
            </w:r>
          </w:p>
          <w:p w:rsidR="00B244A3" w:rsidRDefault="00B244A3" w:rsidP="00006346"/>
          <w:p w:rsidR="00006346" w:rsidRDefault="00006346" w:rsidP="00006346">
            <w:pPr>
              <w:rPr>
                <w:color w:val="auto"/>
                <w:szCs w:val="20"/>
              </w:rPr>
            </w:pPr>
            <w:r>
              <w:t xml:space="preserve">These inquiries occur when an inquirer repeatedly submits inquiries on the same issue over a prolonged period of time, all of which have been responded to correctly.  </w:t>
            </w:r>
            <w:r>
              <w:rPr>
                <w:color w:val="auto"/>
                <w:szCs w:val="20"/>
              </w:rPr>
              <w:t>The following should be sent to the inquire</w:t>
            </w:r>
            <w:r w:rsidR="006306CC">
              <w:rPr>
                <w:color w:val="auto"/>
                <w:szCs w:val="20"/>
              </w:rPr>
              <w:t>r</w:t>
            </w:r>
            <w:r>
              <w:rPr>
                <w:color w:val="auto"/>
                <w:szCs w:val="20"/>
              </w:rPr>
              <w:t>:</w:t>
            </w:r>
          </w:p>
          <w:p w:rsidR="00006346" w:rsidRDefault="00006346">
            <w:pPr>
              <w:pStyle w:val="BlockText"/>
              <w:rPr>
                <w:color w:val="auto"/>
                <w:szCs w:val="20"/>
              </w:rPr>
            </w:pPr>
          </w:p>
          <w:p w:rsidR="00A60AFF" w:rsidRDefault="00583302" w:rsidP="000B0364">
            <w:pPr>
              <w:pStyle w:val="BlockText"/>
            </w:pPr>
            <w:r>
              <w:rPr>
                <w:color w:val="auto"/>
                <w:szCs w:val="20"/>
              </w:rPr>
              <w:t>“We have appropriately responded to your other requests for this same information.  Therefore, we must discontinue any further responses to you regarding this issue.</w:t>
            </w:r>
            <w:r w:rsidR="000B0364">
              <w:rPr>
                <w:color w:val="auto"/>
                <w:szCs w:val="20"/>
              </w:rPr>
              <w:t>”</w:t>
            </w:r>
            <w:r>
              <w:rPr>
                <w:color w:val="auto"/>
                <w:szCs w:val="20"/>
              </w:rPr>
              <w:t xml:space="preserve">  </w:t>
            </w:r>
            <w:r w:rsidR="00006346">
              <w:rPr>
                <w:color w:val="auto"/>
                <w:szCs w:val="20"/>
              </w:rPr>
              <w:t>If inquiries</w:t>
            </w:r>
            <w:r w:rsidR="00D9692F">
              <w:rPr>
                <w:color w:val="auto"/>
                <w:szCs w:val="20"/>
              </w:rPr>
              <w:t xml:space="preserve"> </w:t>
            </w:r>
            <w:r w:rsidR="00006346">
              <w:rPr>
                <w:color w:val="auto"/>
                <w:szCs w:val="20"/>
              </w:rPr>
              <w:t>continue</w:t>
            </w:r>
            <w:r w:rsidR="00D9692F">
              <w:rPr>
                <w:color w:val="auto"/>
                <w:szCs w:val="20"/>
              </w:rPr>
              <w:t>,</w:t>
            </w:r>
            <w:r w:rsidR="00006346">
              <w:rPr>
                <w:color w:val="auto"/>
                <w:szCs w:val="20"/>
              </w:rPr>
              <w:t xml:space="preserve"> </w:t>
            </w:r>
            <w:r w:rsidR="00006346">
              <w:t xml:space="preserve">the responder may, with the approval of </w:t>
            </w:r>
            <w:r w:rsidR="00A60AFF">
              <w:t>leadership</w:t>
            </w:r>
            <w:r w:rsidR="00006346">
              <w:t xml:space="preserve">/supervisor, </w:t>
            </w:r>
            <w:r w:rsidR="00A60AFF">
              <w:t>enter a Private Note on the inquiry that includes the following statement:</w:t>
            </w:r>
          </w:p>
          <w:p w:rsidR="00A60AFF" w:rsidRDefault="00A60AFF" w:rsidP="00F033D2"/>
          <w:p w:rsidR="00280FFB" w:rsidRDefault="00006346" w:rsidP="003C5D5F">
            <w:pPr>
              <w:rPr>
                <w:color w:val="auto"/>
              </w:rPr>
            </w:pPr>
            <w:r>
              <w:t xml:space="preserve"> “This issue has been addressed on this contact’s previous inquiries.  Since </w:t>
            </w:r>
            <w:r w:rsidR="00A60AFF">
              <w:t xml:space="preserve">no additional information pertaining to this issue is available, </w:t>
            </w:r>
            <w:r>
              <w:t>we are closing this inquiry without a response.”  Then change the status to ‘Solved’. </w:t>
            </w:r>
          </w:p>
          <w:p w:rsidR="00280FFB" w:rsidRDefault="00280FFB">
            <w:pPr>
              <w:pStyle w:val="BlockText"/>
              <w:rPr>
                <w:color w:val="auto"/>
              </w:rPr>
            </w:pPr>
          </w:p>
        </w:tc>
      </w:tr>
    </w:tbl>
    <w:p w:rsidR="00423A7B" w:rsidRPr="00423A7B" w:rsidRDefault="00423A7B" w:rsidP="00423A7B">
      <w:pPr>
        <w:pStyle w:val="MapTitleContinued"/>
        <w:jc w:val="right"/>
        <w:rPr>
          <w:rFonts w:ascii="Times New Roman" w:hAnsi="Times New Roman" w:cs="Times New Roman"/>
          <w:b w:val="0"/>
          <w:i/>
          <w:sz w:val="20"/>
        </w:rPr>
      </w:pPr>
      <w:r w:rsidRPr="00423A7B">
        <w:rPr>
          <w:rFonts w:ascii="Times New Roman" w:hAnsi="Times New Roman" w:cs="Times New Roman"/>
          <w:b w:val="0"/>
          <w:i/>
          <w:sz w:val="20"/>
        </w:rPr>
        <w:t>Continued on next page</w:t>
      </w:r>
    </w:p>
    <w:p w:rsidR="00423A7B" w:rsidRPr="006973D4" w:rsidRDefault="00423A7B" w:rsidP="00423A7B">
      <w:pPr>
        <w:pStyle w:val="MapTitleContinued"/>
        <w:rPr>
          <w:b w:val="0"/>
          <w:sz w:val="24"/>
          <w:szCs w:val="24"/>
        </w:rPr>
      </w:pPr>
      <w:fldSimple w:instr=" STYLEREF &quot;Map Title&quot; ">
        <w:r w:rsidR="008843C9">
          <w:rPr>
            <w:noProof/>
          </w:rPr>
          <w:t>2.  IRIS Responses, Continued</w:t>
        </w:r>
      </w:fldSimple>
    </w:p>
    <w:p w:rsidR="00583302" w:rsidRDefault="00583302">
      <w:pPr>
        <w:pStyle w:val="BlockLin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 w:rsidRPr="00711E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Pr="00FA3D29" w:rsidRDefault="006415D0">
            <w:pPr>
              <w:pStyle w:val="Heading5"/>
              <w:rPr>
                <w:szCs w:val="22"/>
              </w:rPr>
            </w:pPr>
            <w:bookmarkStart w:id="19" w:name="_Toc482620058"/>
            <w:r w:rsidRPr="00FA3D29">
              <w:rPr>
                <w:szCs w:val="22"/>
              </w:rPr>
              <w:t>f</w:t>
            </w:r>
            <w:r w:rsidR="00240A63" w:rsidRPr="00FA3D29">
              <w:rPr>
                <w:szCs w:val="22"/>
              </w:rPr>
              <w:t>. Signature Block</w:t>
            </w:r>
            <w:bookmarkEnd w:id="19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62A70" w:rsidRPr="00ED1D9C" w:rsidRDefault="00562A70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1D9C">
              <w:rPr>
                <w:rFonts w:ascii="Times New Roman" w:hAnsi="Times New Roman"/>
                <w:sz w:val="24"/>
                <w:szCs w:val="24"/>
              </w:rPr>
              <w:t>Regardless of the source of the letter, all outgoing correspondence will show the following signature line:</w:t>
            </w:r>
          </w:p>
          <w:p w:rsidR="00562A70" w:rsidRPr="00ED1D9C" w:rsidRDefault="00562A70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2A70" w:rsidRPr="00ED1D9C" w:rsidRDefault="00562A70" w:rsidP="00562A70">
            <w:pPr>
              <w:pStyle w:val="NoSpacing"/>
              <w:ind w:left="720" w:firstLine="720"/>
              <w:rPr>
                <w:rFonts w:ascii="Times New Roman" w:hAnsi="Times New Roman"/>
                <w:sz w:val="24"/>
                <w:szCs w:val="24"/>
              </w:rPr>
            </w:pPr>
            <w:r w:rsidRPr="00ED1D9C">
              <w:rPr>
                <w:rFonts w:ascii="Times New Roman" w:hAnsi="Times New Roman"/>
                <w:sz w:val="24"/>
                <w:szCs w:val="24"/>
              </w:rPr>
              <w:t>RO Director</w:t>
            </w:r>
          </w:p>
          <w:p w:rsidR="00562A70" w:rsidRPr="00ED1D9C" w:rsidRDefault="00562A70" w:rsidP="00562A70">
            <w:pPr>
              <w:pStyle w:val="NoSpacing"/>
              <w:ind w:left="720" w:firstLine="720"/>
              <w:rPr>
                <w:rFonts w:ascii="Times New Roman" w:hAnsi="Times New Roman"/>
                <w:sz w:val="24"/>
                <w:szCs w:val="24"/>
              </w:rPr>
            </w:pPr>
            <w:r w:rsidRPr="00ED1D9C">
              <w:rPr>
                <w:rFonts w:ascii="Times New Roman" w:hAnsi="Times New Roman"/>
                <w:sz w:val="24"/>
                <w:szCs w:val="24"/>
              </w:rPr>
              <w:t>VA Regional Office</w:t>
            </w:r>
          </w:p>
          <w:p w:rsidR="00562A70" w:rsidRPr="00ED1D9C" w:rsidRDefault="00562A70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62A70" w:rsidRDefault="00562A70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D1D9C">
              <w:rPr>
                <w:rFonts w:ascii="Times New Roman" w:hAnsi="Times New Roman"/>
                <w:sz w:val="24"/>
                <w:szCs w:val="24"/>
              </w:rPr>
              <w:t xml:space="preserve">The signature must match the font in the last paragraph of the letter. </w:t>
            </w:r>
          </w:p>
          <w:p w:rsidR="003C5D5F" w:rsidRDefault="003C5D5F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5D5F" w:rsidRDefault="003C5D5F" w:rsidP="003C5D5F">
            <w:pPr>
              <w:pStyle w:val="BlockText"/>
            </w:pPr>
            <w:r>
              <w:t>NOTE:  Ensure if the inquirer has elected a Power of Attorney (POA) that they receive a courtesy copy (cc) and that they are noted as a recipient in the response.</w:t>
            </w:r>
          </w:p>
          <w:p w:rsidR="003C5D5F" w:rsidRDefault="003C5D5F" w:rsidP="00562A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3302" w:rsidRPr="00ED1D9C" w:rsidRDefault="00583302" w:rsidP="00BE45AA">
            <w:pPr>
              <w:pStyle w:val="NoSpacing"/>
            </w:pPr>
          </w:p>
        </w:tc>
      </w:tr>
    </w:tbl>
    <w:p w:rsidR="00012B34" w:rsidRDefault="00012B34" w:rsidP="00012B34"/>
    <w:p w:rsidR="00012B34" w:rsidRDefault="00012B34" w:rsidP="00012B3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58"/>
        <w:gridCol w:w="682"/>
      </w:tblGrid>
      <w:tr w:rsidR="00854337" w:rsidTr="006973D4">
        <w:trPr>
          <w:trHeight w:val="429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54337" w:rsidRDefault="006415D0" w:rsidP="006415D0">
            <w:pPr>
              <w:pStyle w:val="Heading5"/>
            </w:pPr>
            <w:bookmarkStart w:id="20" w:name="_Toc482620059"/>
            <w:r>
              <w:t>g</w:t>
            </w:r>
            <w:r w:rsidR="00062150">
              <w:t>. Attachments</w:t>
            </w:r>
            <w:bookmarkEnd w:id="20"/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854337" w:rsidRDefault="00854337" w:rsidP="00285960">
            <w:pPr>
              <w:pStyle w:val="BlockText"/>
            </w:pPr>
            <w:r>
              <w:t xml:space="preserve">If attachments are being sent with the </w:t>
            </w:r>
            <w:r>
              <w:rPr>
                <w:i/>
                <w:iCs/>
              </w:rPr>
              <w:t>response</w:t>
            </w:r>
            <w:r>
              <w:t>, the attachment should be noted in the body of the inquiry and in the closing block.</w:t>
            </w:r>
            <w:r w:rsidR="006306CC">
              <w:t xml:space="preserve"> Attachments should not contain </w:t>
            </w:r>
            <w:r w:rsidR="003C5D5F">
              <w:t>Personally</w:t>
            </w:r>
            <w:r w:rsidR="00280FFB">
              <w:t xml:space="preserve"> Identifiable Information</w:t>
            </w:r>
            <w:r w:rsidR="006306CC">
              <w:t>; most often attachments are blank forms or electronic brochures.</w:t>
            </w:r>
          </w:p>
          <w:p w:rsidR="00854337" w:rsidRDefault="00854337" w:rsidP="00285960">
            <w:pPr>
              <w:pStyle w:val="BlockText"/>
            </w:pPr>
          </w:p>
          <w:p w:rsidR="00854337" w:rsidRDefault="00854337" w:rsidP="00285960">
            <w:pPr>
              <w:pStyle w:val="BlockText"/>
            </w:pPr>
            <w:r>
              <w:t xml:space="preserve">You may provide web links within the body of the response or they may be included in the </w:t>
            </w:r>
            <w:r w:rsidR="00ED1D9C">
              <w:t>attachment</w:t>
            </w:r>
            <w:r>
              <w:t>.  It is not required to provide web links in both locations.</w:t>
            </w:r>
          </w:p>
          <w:p w:rsidR="00ED1D9C" w:rsidRDefault="00ED1D9C" w:rsidP="00285960">
            <w:pPr>
              <w:pStyle w:val="BlockText"/>
            </w:pPr>
          </w:p>
          <w:p w:rsidR="00854337" w:rsidRDefault="00854337" w:rsidP="00285960">
            <w:pPr>
              <w:pStyle w:val="BlockText"/>
            </w:pPr>
          </w:p>
          <w:p w:rsidR="00854337" w:rsidRDefault="00854337" w:rsidP="00285960">
            <w:pPr>
              <w:pStyle w:val="BlockText"/>
            </w:pPr>
            <w:r>
              <w:rPr>
                <w:b/>
                <w:bCs/>
                <w:i/>
                <w:iCs/>
              </w:rPr>
              <w:t>Note</w:t>
            </w:r>
            <w:r>
              <w:t xml:space="preserve">:  Inquirers cannot send attachments in IRIS.   </w:t>
            </w:r>
          </w:p>
          <w:p w:rsidR="00854337" w:rsidRDefault="00854337" w:rsidP="00285960">
            <w:pPr>
              <w:pStyle w:val="BlockText"/>
            </w:pPr>
          </w:p>
          <w:p w:rsidR="00854337" w:rsidRDefault="00854337" w:rsidP="00285960">
            <w:pPr>
              <w:pStyle w:val="BlockLine"/>
              <w:ind w:left="0"/>
            </w:pPr>
          </w:p>
          <w:p w:rsidR="00854337" w:rsidRDefault="00854337" w:rsidP="00285960">
            <w:pPr>
              <w:pStyle w:val="BlockText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54337" w:rsidRDefault="00854337">
            <w:pPr>
              <w:pStyle w:val="Heading5"/>
            </w:pPr>
          </w:p>
        </w:tc>
      </w:tr>
    </w:tbl>
    <w:p w:rsidR="00583302" w:rsidRDefault="00583302" w:rsidP="00012B34">
      <w:pPr>
        <w:pStyle w:val="MapTitleContinued"/>
      </w:pPr>
      <w:r>
        <w:br w:type="page"/>
      </w:r>
      <w:r>
        <w:lastRenderedPageBreak/>
        <w:t>3.  Timeliness Standard for Responses</w:t>
      </w:r>
      <w:r w:rsidR="003F5E49">
        <w:t xml:space="preserve"> and Reports</w:t>
      </w:r>
    </w:p>
    <w:p w:rsidR="00583302" w:rsidRDefault="00583302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</w:tcPr>
          <w:p w:rsidR="00583302" w:rsidRDefault="00583302">
            <w:pPr>
              <w:pStyle w:val="Heading5"/>
            </w:pPr>
            <w:bookmarkStart w:id="21" w:name="_Toc482620060"/>
            <w:r>
              <w:t>Introduction</w:t>
            </w:r>
            <w:bookmarkEnd w:id="21"/>
          </w:p>
        </w:tc>
        <w:tc>
          <w:tcPr>
            <w:tcW w:w="7740" w:type="dxa"/>
          </w:tcPr>
          <w:p w:rsidR="00583302" w:rsidRDefault="00583302" w:rsidP="00ED5095">
            <w:pPr>
              <w:pStyle w:val="BlockText"/>
            </w:pPr>
            <w:r>
              <w:t xml:space="preserve">This topic provides the timeliness standard for responding to IRIS </w:t>
            </w:r>
            <w:r w:rsidR="006A452B">
              <w:t>inquir</w:t>
            </w:r>
            <w:r w:rsidR="00ED5095">
              <w:t>ies</w:t>
            </w:r>
            <w:r>
              <w:t>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22" w:name="_Toc482620061"/>
            <w:r>
              <w:t>Change Date</w:t>
            </w:r>
            <w:bookmarkEnd w:id="2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012B34">
              <w:t>, 2017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012B34">
            <w:pPr>
              <w:pStyle w:val="Heading5"/>
            </w:pPr>
            <w:bookmarkStart w:id="23" w:name="_Toc482620062"/>
            <w:r>
              <w:t>a. Timeliness</w:t>
            </w:r>
            <w:r w:rsidR="00583302">
              <w:t xml:space="preserve"> Standard for IRIS Responses</w:t>
            </w:r>
            <w:bookmarkEnd w:id="2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 xml:space="preserve">The timeliness standard for responding to IRIS </w:t>
            </w:r>
            <w:r w:rsidR="004C19F6">
              <w:t>inquiries is</w:t>
            </w:r>
            <w:r>
              <w:t xml:space="preserve"> five business days</w:t>
            </w:r>
            <w:r w:rsidR="005C20E4">
              <w:t>, starting the business day after the receipt of the inquiry</w:t>
            </w:r>
            <w:r w:rsidR="003C5D5F">
              <w:t xml:space="preserve"> as recommended by the Office of the Inspector General</w:t>
            </w:r>
            <w:r>
              <w:t>.</w:t>
            </w:r>
            <w:r w:rsidR="0000693B">
              <w:t xml:space="preserve">  If we cannot provide</w:t>
            </w:r>
            <w:r w:rsidR="00B12A54">
              <w:t xml:space="preserve"> a</w:t>
            </w:r>
            <w:r w:rsidR="0000693B">
              <w:t xml:space="preserve"> reply with a complete response</w:t>
            </w:r>
            <w:r w:rsidR="00DF0FCF">
              <w:t xml:space="preserve"> within the five business day, an interim response is required.</w:t>
            </w:r>
          </w:p>
          <w:p w:rsidR="00583302" w:rsidRDefault="00583302">
            <w:pPr>
              <w:pStyle w:val="BlockText"/>
            </w:pPr>
          </w:p>
          <w:p w:rsidR="00583302" w:rsidRDefault="00583302">
            <w:pPr>
              <w:pStyle w:val="BlockText"/>
            </w:pPr>
            <w:r>
              <w:t xml:space="preserve">This standard is automatically programmed into the IRIS application. </w:t>
            </w:r>
          </w:p>
          <w:p w:rsidR="00583302" w:rsidRDefault="00583302">
            <w:pPr>
              <w:pStyle w:val="BlockText"/>
            </w:pPr>
          </w:p>
          <w:p w:rsidR="00583302" w:rsidRDefault="00583302" w:rsidP="0042109A">
            <w:pPr>
              <w:pStyle w:val="BlockText"/>
            </w:pP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F5E49" w:rsidTr="00FA3DC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F5E49" w:rsidRDefault="003F5E49" w:rsidP="003F5E49">
            <w:pPr>
              <w:pStyle w:val="Heading5"/>
            </w:pPr>
            <w:r>
              <w:t>b. IRIS Reports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944F76" w:rsidRDefault="00944F76" w:rsidP="00944F76">
            <w:pPr>
              <w:pStyle w:val="BlockText"/>
            </w:pPr>
            <w:r>
              <w:t xml:space="preserve">BAS will provide a weekly report that will be distributed to field stations through the Office of Field Operations (OFO).  Field stations must take immediate action to address any outstanding inquiries that exceed </w:t>
            </w:r>
            <w:r w:rsidRPr="00944F76">
              <w:t xml:space="preserve">VBA’s business standard </w:t>
            </w:r>
            <w:r w:rsidR="005C20E4">
              <w:t xml:space="preserve">of </w:t>
            </w:r>
            <w:r w:rsidRPr="00944F76">
              <w:t xml:space="preserve">5 business days for </w:t>
            </w:r>
            <w:r w:rsidR="005C20E4">
              <w:t>a response</w:t>
            </w:r>
            <w:r w:rsidRPr="00944F76">
              <w:t>.</w:t>
            </w:r>
          </w:p>
          <w:p w:rsidR="00944F76" w:rsidRDefault="00944F76" w:rsidP="00944F76">
            <w:pPr>
              <w:pStyle w:val="BlockText"/>
            </w:pPr>
          </w:p>
          <w:p w:rsidR="00944F76" w:rsidRDefault="00944F76" w:rsidP="00944F76">
            <w:pPr>
              <w:pStyle w:val="BlockText"/>
            </w:pPr>
            <w:r>
              <w:t>BAS will actively monitor inquiry response timeliness and will coordinate through OFO to identify and notify stations that may require additional actions to address outstanding inquiries.</w:t>
            </w:r>
          </w:p>
          <w:p w:rsidR="00944F76" w:rsidRDefault="00944F76" w:rsidP="00944F76">
            <w:pPr>
              <w:pStyle w:val="BlockText"/>
            </w:pPr>
          </w:p>
          <w:p w:rsidR="003F5E49" w:rsidRDefault="003F5E49" w:rsidP="00944F76">
            <w:pPr>
              <w:pStyle w:val="BlockText"/>
            </w:pPr>
            <w:r>
              <w:t>Reports for all groups can be accessed</w:t>
            </w:r>
            <w:r w:rsidR="000319BE">
              <w:t xml:space="preserve"> through the IRIS Oracle </w:t>
            </w:r>
            <w:r w:rsidR="00FF358D">
              <w:t>Service</w:t>
            </w:r>
            <w:r w:rsidR="000319BE">
              <w:t xml:space="preserve"> Cloud by going to Reports Explorer.  The following link will explain what reports are assessable for your use:  </w:t>
            </w:r>
            <w:hyperlink r:id="rId12" w:history="1">
              <w:r w:rsidR="00C94623" w:rsidRPr="005E0299">
                <w:rPr>
                  <w:rStyle w:val="Hyperlink"/>
                </w:rPr>
                <w:t>http://vaww.va.gov/IRISINFO/docs/Reports-Explorer-Folders.pdf</w:t>
              </w:r>
            </w:hyperlink>
            <w:r w:rsidR="00C94623">
              <w:t xml:space="preserve"> </w:t>
            </w:r>
          </w:p>
        </w:tc>
      </w:tr>
    </w:tbl>
    <w:p w:rsidR="003F5E49" w:rsidRDefault="003F5E49" w:rsidP="003F5E49">
      <w:pPr>
        <w:pStyle w:val="BlockLine"/>
      </w:pPr>
    </w:p>
    <w:p w:rsidR="00583302" w:rsidRDefault="00583302">
      <w:pPr>
        <w:pStyle w:val="Heading4"/>
      </w:pPr>
      <w:r>
        <w:br w:type="page"/>
      </w:r>
      <w:bookmarkStart w:id="24" w:name="_Toc482620063"/>
      <w:r>
        <w:lastRenderedPageBreak/>
        <w:t>4.  IRIS Security</w:t>
      </w:r>
      <w:bookmarkEnd w:id="24"/>
    </w:p>
    <w:p w:rsidR="00583302" w:rsidRDefault="00583302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25" w:name="_Toc482620064"/>
            <w:r>
              <w:t>Introduction</w:t>
            </w:r>
            <w:bookmarkEnd w:id="2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This topic contains information on IRIS security, including: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a general description of IRIS security</w:t>
            </w:r>
            <w:r w:rsidR="00A922F3">
              <w:t>,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IRIS security concerns, and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the use of passwords in IRIS.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26" w:name="_Toc482620065"/>
            <w:r>
              <w:t>Change Date</w:t>
            </w:r>
            <w:bookmarkEnd w:id="2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012B34">
              <w:t>, 2017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6415D0" w:rsidP="00FA3D29">
            <w:pPr>
              <w:pStyle w:val="Heading5"/>
            </w:pPr>
            <w:bookmarkStart w:id="27" w:name="_Toc482620066"/>
            <w:r>
              <w:t>a. General</w:t>
            </w:r>
            <w:r w:rsidR="00583302">
              <w:t xml:space="preserve"> Description of IRIS Security</w:t>
            </w:r>
            <w:bookmarkEnd w:id="27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 xml:space="preserve">IRIS is a secure application.  The application resides on a secure server behind a firewall.  When </w:t>
            </w:r>
            <w:r w:rsidR="00ED5095">
              <w:t xml:space="preserve">an </w:t>
            </w:r>
            <w:r w:rsidR="006A452B">
              <w:t>inquirer</w:t>
            </w:r>
            <w:r>
              <w:t xml:space="preserve"> or a </w:t>
            </w:r>
            <w:r w:rsidR="00D51B08">
              <w:t xml:space="preserve">VA </w:t>
            </w:r>
            <w:r>
              <w:t>responder connects to IRIS, an encrypted connection is established.</w:t>
            </w:r>
          </w:p>
          <w:p w:rsidR="00583302" w:rsidRDefault="00583302">
            <w:pPr>
              <w:pStyle w:val="BlockText"/>
            </w:pPr>
          </w:p>
          <w:p w:rsidR="00583302" w:rsidRDefault="00D51B08" w:rsidP="00D51B08">
            <w:pPr>
              <w:pStyle w:val="BlockText"/>
            </w:pPr>
            <w:r>
              <w:t xml:space="preserve">Inquiries and responses </w:t>
            </w:r>
            <w:r w:rsidR="00583302">
              <w:t>are retained in a database on the IRIS server</w:t>
            </w:r>
            <w:r>
              <w:t xml:space="preserve"> and are not deleted.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FA3D29">
            <w:pPr>
              <w:pStyle w:val="Heading5"/>
            </w:pPr>
            <w:bookmarkStart w:id="28" w:name="_Toc482620067"/>
            <w:r>
              <w:t>b. IRIS</w:t>
            </w:r>
            <w:r w:rsidR="00583302">
              <w:t xml:space="preserve"> Security Concerns</w:t>
            </w:r>
            <w:bookmarkEnd w:id="28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F1405" w:rsidRDefault="00AF1405" w:rsidP="00AF1405">
            <w:pPr>
              <w:pStyle w:val="BlockText"/>
            </w:pPr>
            <w:r>
              <w:t>When a response is provided via the IRIS system, an e-mail message is sent to the inquirer that a response is waiting to be read.  The IRIS e-mail message contains no personal information, only a link back to the VA response in the database.</w:t>
            </w:r>
          </w:p>
          <w:p w:rsidR="00AF1405" w:rsidRDefault="00AF1405" w:rsidP="00AF1405">
            <w:pPr>
              <w:pStyle w:val="BlockText"/>
            </w:pPr>
          </w:p>
          <w:p w:rsidR="00281F9B" w:rsidRDefault="00AF1405" w:rsidP="00AF1405">
            <w:pPr>
              <w:pStyle w:val="BlockText"/>
            </w:pPr>
            <w:r>
              <w:t>Privacy becomes an issue if a person other than the sender has access to the sender’s e-mail, giving that person access to the sender’s personal information.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 w:rsidTr="00035B98">
        <w:trPr>
          <w:trHeight w:val="331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FA3D29">
            <w:pPr>
              <w:pStyle w:val="Heading5"/>
            </w:pPr>
            <w:bookmarkStart w:id="29" w:name="_Toc482620068"/>
            <w:r>
              <w:t>c. Use</w:t>
            </w:r>
            <w:r w:rsidR="00583302">
              <w:t xml:space="preserve"> of Passwords in IRIS</w:t>
            </w:r>
            <w:bookmarkEnd w:id="29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10944" w:rsidRDefault="00C10944" w:rsidP="00C10944">
            <w:pPr>
              <w:pStyle w:val="BlockText"/>
            </w:pPr>
            <w:r>
              <w:t>Most i</w:t>
            </w:r>
            <w:r w:rsidR="00D51B08">
              <w:t xml:space="preserve">nternal IRIS users </w:t>
            </w:r>
            <w:r w:rsidR="00281F9B">
              <w:t>utilize Single Sign On (</w:t>
            </w:r>
            <w:r w:rsidR="00D51B08">
              <w:t>SSO</w:t>
            </w:r>
            <w:r w:rsidR="00281F9B">
              <w:t>)</w:t>
            </w:r>
            <w:r w:rsidR="00D51B08">
              <w:t xml:space="preserve"> to log in using PIV cards. There are some groups in the IRIS who continue to use specifically issued usernames and passwords due to the</w:t>
            </w:r>
            <w:r w:rsidR="00B26131">
              <w:t xml:space="preserve"> way the</w:t>
            </w:r>
            <w:r w:rsidR="00D51B08">
              <w:t xml:space="preserve"> account </w:t>
            </w:r>
            <w:r w:rsidR="00B26131">
              <w:t xml:space="preserve">is </w:t>
            </w:r>
            <w:r w:rsidR="00D51B08">
              <w:t xml:space="preserve">set up in IRIS. </w:t>
            </w:r>
            <w:r w:rsidR="00B26131">
              <w:t xml:space="preserve">Persons with more than one account will have one account set up with SSO and the others will have system-specific passwords issued by the VA IRIS System Admin group.  </w:t>
            </w:r>
            <w:r w:rsidR="00D51B08">
              <w:t xml:space="preserve"> </w:t>
            </w:r>
          </w:p>
          <w:p w:rsidR="00C10944" w:rsidRDefault="00C10944" w:rsidP="00C10944">
            <w:pPr>
              <w:pStyle w:val="BlockText"/>
            </w:pPr>
          </w:p>
          <w:p w:rsidR="00583302" w:rsidRDefault="00B26131" w:rsidP="00C10944">
            <w:pPr>
              <w:pStyle w:val="BlockText"/>
            </w:pPr>
            <w:r>
              <w:t>Established users</w:t>
            </w:r>
            <w:r w:rsidR="00D51B08">
              <w:t xml:space="preserve"> who fail to log in on a regular basis will have their access automatically disabled</w:t>
            </w:r>
            <w:r>
              <w:t xml:space="preserve"> in 45 days</w:t>
            </w:r>
            <w:r w:rsidR="00D51B08">
              <w:t>; they will receive</w:t>
            </w:r>
            <w:r>
              <w:t xml:space="preserve"> a warning notice two weeks ahead of the disabling activity and a second one when the disabling has occurred.  New users must log in within 30 days; if they fail to log in at least once in the initial 30 day period</w:t>
            </w:r>
            <w:r w:rsidR="006C512E">
              <w:t xml:space="preserve">, they </w:t>
            </w:r>
            <w:r>
              <w:t>will receive a two week warning notice and a final notice of di</w:t>
            </w:r>
            <w:r w:rsidR="006C512E">
              <w:t xml:space="preserve">sabling at the 30 day threshold and then their account will be automatically disabled.  </w:t>
            </w:r>
          </w:p>
        </w:tc>
      </w:tr>
    </w:tbl>
    <w:p w:rsidR="00583302" w:rsidRDefault="00583302">
      <w:pPr>
        <w:pStyle w:val="BlockLine"/>
      </w:pPr>
    </w:p>
    <w:p w:rsidR="00583302" w:rsidRDefault="00583302">
      <w:pPr>
        <w:pStyle w:val="Heading4"/>
      </w:pPr>
      <w:r>
        <w:br w:type="page"/>
      </w:r>
      <w:bookmarkStart w:id="30" w:name="_Toc482620069"/>
      <w:r>
        <w:lastRenderedPageBreak/>
        <w:t>5.  Reporting Work Credit</w:t>
      </w:r>
      <w:bookmarkEnd w:id="30"/>
    </w:p>
    <w:p w:rsidR="00583302" w:rsidRDefault="00583302">
      <w:pPr>
        <w:pStyle w:val="BlockLine"/>
        <w:tabs>
          <w:tab w:val="left" w:pos="3180"/>
        </w:tabs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cantSplit/>
        </w:trPr>
        <w:tc>
          <w:tcPr>
            <w:tcW w:w="1728" w:type="dxa"/>
          </w:tcPr>
          <w:p w:rsidR="00583302" w:rsidRDefault="00583302">
            <w:pPr>
              <w:pStyle w:val="Heading5"/>
            </w:pPr>
            <w:bookmarkStart w:id="31" w:name="_Toc482620070"/>
            <w:r>
              <w:t>Introduction</w:t>
            </w:r>
            <w:bookmarkEnd w:id="31"/>
          </w:p>
        </w:tc>
        <w:tc>
          <w:tcPr>
            <w:tcW w:w="7740" w:type="dxa"/>
          </w:tcPr>
          <w:p w:rsidR="00583302" w:rsidRDefault="00583302">
            <w:pPr>
              <w:pStyle w:val="BlockText"/>
            </w:pPr>
            <w:r>
              <w:t>This topic provides guidance and information on reporting requirements for work credit, including:</w:t>
            </w:r>
          </w:p>
          <w:p w:rsidR="00583302" w:rsidRDefault="00583302">
            <w:pPr>
              <w:pStyle w:val="BlockText"/>
            </w:pP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reporting work credit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IRIS referrals, and</w:t>
            </w:r>
          </w:p>
          <w:p w:rsidR="00583302" w:rsidRDefault="00583302" w:rsidP="00FA3DCF">
            <w:pPr>
              <w:pStyle w:val="BulletText1"/>
              <w:tabs>
                <w:tab w:val="clear" w:pos="263"/>
                <w:tab w:val="num" w:pos="893"/>
              </w:tabs>
              <w:ind w:left="893"/>
            </w:pPr>
            <w:r>
              <w:t>work credit for IRIS referrals</w:t>
            </w:r>
          </w:p>
        </w:tc>
      </w:tr>
    </w:tbl>
    <w:p w:rsidR="00583302" w:rsidRDefault="00583302">
      <w:pPr>
        <w:pStyle w:val="BlockLine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32" w:name="_Toc482620071"/>
            <w:r>
              <w:t>Change Date</w:t>
            </w:r>
            <w:bookmarkEnd w:id="3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012B34">
              <w:t>, 2017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012B34" w:rsidP="006415D0">
            <w:pPr>
              <w:pStyle w:val="Heading5"/>
            </w:pPr>
            <w:bookmarkStart w:id="33" w:name="_Toc482620072"/>
            <w:r>
              <w:t>a. Reporting</w:t>
            </w:r>
            <w:r w:rsidR="00583302">
              <w:t xml:space="preserve"> Work Credit</w:t>
            </w:r>
            <w:bookmarkEnd w:id="33"/>
            <w:r w:rsidR="00D9692F"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D9692F" w:rsidP="00C10944">
            <w:pPr>
              <w:pStyle w:val="BlockText"/>
            </w:pPr>
            <w:r>
              <w:t xml:space="preserve">VSCs must use End Product (EP) 400 to record work credit for their responses to </w:t>
            </w:r>
            <w:r w:rsidR="00C268AA">
              <w:t>IRIS inquiries</w:t>
            </w:r>
            <w:r>
              <w:t xml:space="preserve">.  Upon providing the requested information to the IRC </w:t>
            </w:r>
            <w:r w:rsidR="00C268AA">
              <w:t xml:space="preserve">or to the inquirer, </w:t>
            </w:r>
            <w:r>
              <w:t>the VSC will immediately clear an EP 400 for that inquiry.</w:t>
            </w:r>
            <w:r w:rsidR="00035B98" w:rsidDel="00035B98">
              <w:t xml:space="preserve"> </w:t>
            </w:r>
          </w:p>
        </w:tc>
      </w:tr>
      <w:tr w:rsidR="00583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28" w:type="dxa"/>
          </w:tcPr>
          <w:p w:rsidR="00583302" w:rsidRDefault="00583302">
            <w:pPr>
              <w:pStyle w:val="Heading5"/>
            </w:pPr>
          </w:p>
        </w:tc>
        <w:tc>
          <w:tcPr>
            <w:tcW w:w="7740" w:type="dxa"/>
          </w:tcPr>
          <w:p w:rsidR="00583302" w:rsidRDefault="00583302">
            <w:pPr>
              <w:pStyle w:val="BlockText"/>
            </w:pPr>
          </w:p>
        </w:tc>
      </w:tr>
    </w:tbl>
    <w:p w:rsidR="00583302" w:rsidRDefault="00583302" w:rsidP="00035B98">
      <w:pPr>
        <w:pStyle w:val="BlockLine"/>
        <w:pBdr>
          <w:top w:val="single" w:sz="6" w:space="21" w:color="000000"/>
        </w:pBdr>
      </w:pPr>
      <w:r>
        <w:t xml:space="preserve"> </w:t>
      </w:r>
    </w:p>
    <w:p w:rsidR="00583302" w:rsidRDefault="00583302">
      <w:pPr>
        <w:pStyle w:val="Heading4"/>
      </w:pPr>
      <w:r>
        <w:br w:type="page"/>
      </w:r>
      <w:bookmarkStart w:id="34" w:name="_Toc482620073"/>
      <w:r>
        <w:t>6.  IRIS-Related References</w:t>
      </w:r>
      <w:bookmarkEnd w:id="34"/>
    </w:p>
    <w:p w:rsidR="00583302" w:rsidRDefault="00583302">
      <w:pPr>
        <w:pStyle w:val="BlockLine"/>
      </w:pPr>
      <w:r>
        <w:fldChar w:fldCharType="begin"/>
      </w:r>
      <w:r>
        <w:instrText xml:space="preserve"> PRIVATE INFOTYPE="OTHER" </w:instrTex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</w:tcPr>
          <w:p w:rsidR="00583302" w:rsidRDefault="00583302">
            <w:pPr>
              <w:pStyle w:val="Heading5"/>
            </w:pPr>
            <w:bookmarkStart w:id="35" w:name="_Toc482620074"/>
            <w:r>
              <w:t>Introduction</w:t>
            </w:r>
            <w:bookmarkEnd w:id="35"/>
          </w:p>
        </w:tc>
        <w:tc>
          <w:tcPr>
            <w:tcW w:w="7740" w:type="dxa"/>
          </w:tcPr>
          <w:p w:rsidR="00583302" w:rsidRDefault="00583302">
            <w:pPr>
              <w:pStyle w:val="BlockText"/>
            </w:pPr>
            <w:r>
              <w:t>This topic provides reference and material relative to the IRIS program.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Heading5"/>
            </w:pPr>
            <w:bookmarkStart w:id="36" w:name="_Toc482620075"/>
            <w:r>
              <w:t>Change Date</w:t>
            </w:r>
            <w:bookmarkEnd w:id="3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3B74C6">
            <w:pPr>
              <w:pStyle w:val="BlockText"/>
            </w:pPr>
            <w:r>
              <w:t>September 14</w:t>
            </w:r>
            <w:r w:rsidR="00E34FA9">
              <w:t>, 2017</w:t>
            </w:r>
          </w:p>
        </w:tc>
      </w:tr>
    </w:tbl>
    <w:p w:rsidR="00583302" w:rsidRDefault="00583302">
      <w:pPr>
        <w:pStyle w:val="Block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83302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FA3D29" w:rsidP="00FA3D29">
            <w:pPr>
              <w:pStyle w:val="Heading5"/>
            </w:pPr>
            <w:bookmarkStart w:id="37" w:name="_Toc482620076"/>
            <w:r>
              <w:t xml:space="preserve">a. IRIS </w:t>
            </w:r>
            <w:r w:rsidR="00583302">
              <w:t>Related References</w:t>
            </w:r>
            <w:bookmarkEnd w:id="37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83302" w:rsidRDefault="00583302">
            <w:pPr>
              <w:pStyle w:val="BlockText"/>
            </w:pPr>
            <w:r>
              <w:t>Reference information and material relative to the IRIS program is provided below:</w:t>
            </w:r>
          </w:p>
          <w:p w:rsidR="00583302" w:rsidRDefault="00583302">
            <w:pPr>
              <w:pStyle w:val="BlockText"/>
            </w:pPr>
          </w:p>
          <w:p w:rsidR="00821ECC" w:rsidRDefault="00583302" w:rsidP="00711E45">
            <w:pPr>
              <w:pStyle w:val="BulletText1"/>
              <w:numPr>
                <w:ilvl w:val="0"/>
                <w:numId w:val="0"/>
              </w:numPr>
            </w:pPr>
            <w:hyperlink r:id="rId13" w:history="1">
              <w:r>
                <w:rPr>
                  <w:rStyle w:val="Hyperlink"/>
                </w:rPr>
                <w:t>IRIS Instru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tio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Guides</w:t>
              </w:r>
            </w:hyperlink>
            <w:r w:rsidR="00035B98">
              <w:t xml:space="preserve"> </w:t>
            </w:r>
          </w:p>
          <w:p w:rsidR="00583302" w:rsidRDefault="002F3190" w:rsidP="00821ECC">
            <w:pPr>
              <w:pStyle w:val="BulletText1"/>
              <w:numPr>
                <w:ilvl w:val="0"/>
                <w:numId w:val="21"/>
              </w:numPr>
            </w:pPr>
            <w:r>
              <w:t>General Information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System Installation &amp; Setup Details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Policies &amp; Procedures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Knowledge Base Answers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Frequently Asked Questions (FAQs)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Issues &amp; troubleshooting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Analytics &amp; Reports</w:t>
            </w:r>
          </w:p>
          <w:p w:rsidR="002F3190" w:rsidRDefault="002F3190" w:rsidP="002F3190">
            <w:pPr>
              <w:pStyle w:val="BlockText"/>
              <w:numPr>
                <w:ilvl w:val="0"/>
                <w:numId w:val="21"/>
              </w:numPr>
            </w:pPr>
            <w:r>
              <w:t>Training Information</w:t>
            </w:r>
          </w:p>
        </w:tc>
      </w:tr>
      <w:tr w:rsidR="002F3190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F3190" w:rsidRDefault="002F3190">
            <w:pPr>
              <w:pStyle w:val="Heading5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2F3190" w:rsidRDefault="002F3190">
            <w:pPr>
              <w:pStyle w:val="BlockText"/>
            </w:pPr>
          </w:p>
        </w:tc>
      </w:tr>
      <w:tr w:rsidR="002F3190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F3190" w:rsidRDefault="002F3190">
            <w:pPr>
              <w:pStyle w:val="Heading5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2F3190" w:rsidRDefault="002F3190">
            <w:pPr>
              <w:pStyle w:val="BlockText"/>
            </w:pPr>
          </w:p>
        </w:tc>
      </w:tr>
    </w:tbl>
    <w:p w:rsidR="00583302" w:rsidRDefault="00583302">
      <w:pPr>
        <w:pStyle w:val="ContinuedOnNextPa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TgB1AG0AYgBlAHIAaQBuAGcAVgBhAHIAMAA=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TgB1AG0AYgBlAHIAaQBuAGcAVgBhAHIAMAA=
</w:fldData>
        </w:fldChar>
      </w:r>
      <w:r>
        <w:instrText xml:space="preserve"> ADDIN  \* MERGEFORMAT </w:instrText>
      </w:r>
      <w:r>
        <w:fldChar w:fldCharType="end"/>
      </w:r>
    </w:p>
    <w:sectPr w:rsidR="00583302" w:rsidSect="00C1447D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080" w:right="1440" w:bottom="994" w:left="1440" w:header="70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94" w:rsidRDefault="00935994">
      <w:r>
        <w:separator/>
      </w:r>
    </w:p>
  </w:endnote>
  <w:endnote w:type="continuationSeparator" w:id="0">
    <w:p w:rsidR="00935994" w:rsidRDefault="009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95" w:rsidRDefault="00001E95">
    <w:pPr>
      <w:pStyle w:val="Footer"/>
      <w:framePr w:wrap="around" w:vAnchor="text" w:hAnchor="margin" w:xAlign="outside" w:y="1"/>
      <w:rPr>
        <w:rStyle w:val="PageNumber"/>
        <w:b/>
        <w:bCs/>
        <w:sz w:val="20"/>
      </w:rPr>
    </w:pPr>
    <w:r>
      <w:rPr>
        <w:rStyle w:val="PageNumber"/>
        <w:b/>
        <w:bCs/>
        <w:sz w:val="20"/>
        <w:lang w:val="en-US"/>
      </w:rPr>
      <w:t>V</w:t>
    </w:r>
    <w:r w:rsidR="00ED5095">
      <w:rPr>
        <w:rStyle w:val="PageNumber"/>
        <w:b/>
        <w:bCs/>
        <w:sz w:val="20"/>
      </w:rPr>
      <w:t>-</w:t>
    </w:r>
    <w:r>
      <w:rPr>
        <w:rStyle w:val="PageNumber"/>
        <w:b/>
        <w:bCs/>
        <w:sz w:val="20"/>
        <w:lang w:val="en-US"/>
      </w:rPr>
      <w:t>3</w:t>
    </w:r>
    <w:r w:rsidR="00ED5095">
      <w:rPr>
        <w:rStyle w:val="PageNumber"/>
        <w:b/>
        <w:bCs/>
        <w:sz w:val="20"/>
      </w:rPr>
      <w:t>-</w:t>
    </w:r>
    <w:r w:rsidR="00ED5095">
      <w:rPr>
        <w:rStyle w:val="PageNumber"/>
        <w:b/>
        <w:bCs/>
        <w:sz w:val="20"/>
      </w:rPr>
      <w:fldChar w:fldCharType="begin"/>
    </w:r>
    <w:r w:rsidR="00ED5095">
      <w:rPr>
        <w:rStyle w:val="PageNumber"/>
        <w:b/>
        <w:bCs/>
        <w:sz w:val="20"/>
      </w:rPr>
      <w:instrText xml:space="preserve">PAGE  </w:instrText>
    </w:r>
    <w:r w:rsidR="00ED5095">
      <w:rPr>
        <w:rStyle w:val="PageNumber"/>
        <w:b/>
        <w:bCs/>
        <w:sz w:val="20"/>
      </w:rPr>
      <w:fldChar w:fldCharType="separate"/>
    </w:r>
    <w:r w:rsidR="00F2774A">
      <w:rPr>
        <w:rStyle w:val="PageNumber"/>
        <w:b/>
        <w:bCs/>
        <w:noProof/>
        <w:sz w:val="20"/>
      </w:rPr>
      <w:t>10</w:t>
    </w:r>
    <w:r w:rsidR="00ED5095">
      <w:rPr>
        <w:rStyle w:val="PageNumber"/>
        <w:b/>
        <w:bCs/>
        <w:sz w:val="20"/>
      </w:rPr>
      <w:fldChar w:fldCharType="end"/>
    </w:r>
  </w:p>
  <w:p w:rsidR="00ED5095" w:rsidRDefault="00ED50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95" w:rsidRDefault="00001E95">
    <w:pPr>
      <w:pStyle w:val="Footer"/>
      <w:framePr w:wrap="around" w:vAnchor="text" w:hAnchor="margin" w:xAlign="outside" w:y="1"/>
      <w:rPr>
        <w:rStyle w:val="PageNumber"/>
        <w:b/>
        <w:bCs/>
        <w:sz w:val="20"/>
      </w:rPr>
    </w:pPr>
    <w:r>
      <w:rPr>
        <w:rStyle w:val="PageNumber"/>
        <w:b/>
        <w:bCs/>
        <w:sz w:val="20"/>
        <w:lang w:val="en-US"/>
      </w:rPr>
      <w:t>V</w:t>
    </w:r>
    <w:r w:rsidR="00ED5095">
      <w:rPr>
        <w:rStyle w:val="PageNumber"/>
        <w:b/>
        <w:bCs/>
        <w:sz w:val="20"/>
      </w:rPr>
      <w:t>-</w:t>
    </w:r>
    <w:r>
      <w:rPr>
        <w:rStyle w:val="PageNumber"/>
        <w:b/>
        <w:bCs/>
        <w:sz w:val="20"/>
        <w:lang w:val="en-US"/>
      </w:rPr>
      <w:t>3</w:t>
    </w:r>
    <w:r w:rsidR="00ED5095">
      <w:rPr>
        <w:rStyle w:val="PageNumber"/>
        <w:b/>
        <w:bCs/>
        <w:sz w:val="20"/>
      </w:rPr>
      <w:t>-</w:t>
    </w:r>
    <w:r w:rsidR="00ED5095">
      <w:rPr>
        <w:rStyle w:val="PageNumber"/>
        <w:b/>
        <w:bCs/>
        <w:sz w:val="20"/>
      </w:rPr>
      <w:fldChar w:fldCharType="begin"/>
    </w:r>
    <w:r w:rsidR="00ED5095">
      <w:rPr>
        <w:rStyle w:val="PageNumber"/>
        <w:b/>
        <w:bCs/>
        <w:sz w:val="20"/>
      </w:rPr>
      <w:instrText xml:space="preserve">PAGE  </w:instrText>
    </w:r>
    <w:r w:rsidR="00ED5095">
      <w:rPr>
        <w:rStyle w:val="PageNumber"/>
        <w:b/>
        <w:bCs/>
        <w:sz w:val="20"/>
      </w:rPr>
      <w:fldChar w:fldCharType="separate"/>
    </w:r>
    <w:r w:rsidR="00F2774A">
      <w:rPr>
        <w:rStyle w:val="PageNumber"/>
        <w:b/>
        <w:bCs/>
        <w:noProof/>
        <w:sz w:val="20"/>
      </w:rPr>
      <w:t>1</w:t>
    </w:r>
    <w:r w:rsidR="00ED5095">
      <w:rPr>
        <w:rStyle w:val="PageNumber"/>
        <w:b/>
        <w:bCs/>
        <w:sz w:val="20"/>
      </w:rPr>
      <w:fldChar w:fldCharType="end"/>
    </w:r>
  </w:p>
  <w:p w:rsidR="00ED5095" w:rsidRDefault="00ED509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94" w:rsidRDefault="00935994">
      <w:r>
        <w:separator/>
      </w:r>
    </w:p>
  </w:footnote>
  <w:footnote w:type="continuationSeparator" w:id="0">
    <w:p w:rsidR="00935994" w:rsidRDefault="0093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95" w:rsidRPr="00CB019E" w:rsidRDefault="00ED5095">
    <w:pPr>
      <w:pStyle w:val="Header"/>
      <w:rPr>
        <w:b/>
        <w:bCs/>
        <w:sz w:val="20"/>
        <w:lang w:val="en-US"/>
      </w:rPr>
    </w:pPr>
    <w:r>
      <w:rPr>
        <w:b/>
        <w:bCs/>
        <w:sz w:val="20"/>
      </w:rPr>
      <w:t xml:space="preserve">M27-1, Part </w:t>
    </w:r>
    <w:r w:rsidR="00CB019E">
      <w:rPr>
        <w:b/>
        <w:bCs/>
        <w:sz w:val="20"/>
        <w:lang w:val="en-US"/>
      </w:rPr>
      <w:t>V</w:t>
    </w:r>
    <w:r>
      <w:rPr>
        <w:b/>
        <w:bCs/>
        <w:sz w:val="20"/>
      </w:rPr>
      <w:t xml:space="preserve">, Chapter </w:t>
    </w:r>
    <w:r w:rsidR="00CB019E">
      <w:rPr>
        <w:b/>
        <w:bCs/>
        <w:sz w:val="20"/>
        <w:lang w:val="en-U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95" w:rsidRDefault="00ED5095" w:rsidP="00575E8E">
    <w:pPr>
      <w:pStyle w:val="Header"/>
      <w:jc w:val="both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  <w:t xml:space="preserve">M27-1, Part </w:t>
    </w:r>
    <w:r w:rsidR="00D9692F">
      <w:rPr>
        <w:b/>
        <w:bCs/>
        <w:sz w:val="20"/>
        <w:lang w:val="en-US"/>
      </w:rPr>
      <w:t>V</w:t>
    </w:r>
    <w:r>
      <w:rPr>
        <w:b/>
        <w:bCs/>
        <w:sz w:val="20"/>
      </w:rPr>
      <w:t xml:space="preserve">, Chapter </w:t>
    </w:r>
    <w:r w:rsidR="00C76785">
      <w:rPr>
        <w:b/>
        <w:bCs/>
        <w:sz w:val="20"/>
        <w:lang w:val="en-US"/>
      </w:rPr>
      <w:t>3</w:t>
    </w:r>
  </w:p>
  <w:p w:rsidR="00ED5095" w:rsidRPr="00575E8E" w:rsidRDefault="00ED5095" w:rsidP="00575E8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fspro_2columns"/>
      </v:shape>
    </w:pict>
  </w:numPicBullet>
  <w:numPicBullet w:numPicBulletId="1">
    <w:pict>
      <v:shape id="_x0000_i1026" type="#_x0000_t75" style="width:12.25pt;height:12.25pt" o:bullet="t">
        <v:imagedata r:id="rId2" o:title="advanced"/>
      </v:shape>
    </w:pict>
  </w:numPicBullet>
  <w:numPicBullet w:numPicBulletId="2">
    <w:pict>
      <v:shape id="_x0000_i1027" type="#_x0000_t75" style="width:12.25pt;height:12.25pt" o:bullet="t">
        <v:imagedata r:id="rId3" o:title="continue"/>
      </v:shape>
    </w:pict>
  </w:numPicBullet>
  <w:numPicBullet w:numPicBulletId="3">
    <w:pict>
      <v:shape id="_x0000_i1028" type="#_x0000_t75" style="width:12.25pt;height:12.2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758BE"/>
    <w:multiLevelType w:val="hybridMultilevel"/>
    <w:tmpl w:val="7B50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73DA5"/>
    <w:multiLevelType w:val="hybridMultilevel"/>
    <w:tmpl w:val="369083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EE2635"/>
    <w:multiLevelType w:val="hybridMultilevel"/>
    <w:tmpl w:val="E0FE2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55A4B"/>
    <w:multiLevelType w:val="hybridMultilevel"/>
    <w:tmpl w:val="5458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4B41E9"/>
    <w:multiLevelType w:val="hybridMultilevel"/>
    <w:tmpl w:val="6FFC7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A721B8"/>
    <w:multiLevelType w:val="hybridMultilevel"/>
    <w:tmpl w:val="165C22E6"/>
    <w:lvl w:ilvl="0" w:tplc="2874612A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DB3D68"/>
    <w:multiLevelType w:val="hybridMultilevel"/>
    <w:tmpl w:val="BC56C8C8"/>
    <w:lvl w:ilvl="0" w:tplc="41360778">
      <w:start w:val="1"/>
      <w:numFmt w:val="bullet"/>
      <w:pStyle w:val="BulletText1"/>
      <w:lvlText w:val=""/>
      <w:lvlJc w:val="left"/>
      <w:pPr>
        <w:tabs>
          <w:tab w:val="num" w:pos="263"/>
        </w:tabs>
        <w:ind w:left="263" w:hanging="173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5"/>
  </w:num>
  <w:num w:numId="7">
    <w:abstractNumId w:val="15"/>
  </w:num>
  <w:num w:numId="8">
    <w:abstractNumId w:val="4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0"/>
  </w:num>
  <w:num w:numId="14">
    <w:abstractNumId w:val="15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0"/>
  </w:num>
  <w:num w:numId="22">
    <w:abstractNumId w:val="5"/>
  </w:num>
  <w:num w:numId="23">
    <w:abstractNumId w:val="2"/>
  </w:num>
  <w:num w:numId="24">
    <w:abstractNumId w:val="7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NumberingVar" w:val="0"/>
    <w:docVar w:name="XSLPath" w:val="C:\Program Files\Information Mapping\FS Pro 4.2\StyleSheets\"/>
    <w:docVar w:name="XSLstylesheet" w:val="Basic.xsl"/>
  </w:docVars>
  <w:rsids>
    <w:rsidRoot w:val="00081861"/>
    <w:rsid w:val="00001E95"/>
    <w:rsid w:val="00006346"/>
    <w:rsid w:val="0000693B"/>
    <w:rsid w:val="00007D8C"/>
    <w:rsid w:val="00012B34"/>
    <w:rsid w:val="0002163D"/>
    <w:rsid w:val="000319BE"/>
    <w:rsid w:val="00035B98"/>
    <w:rsid w:val="00062150"/>
    <w:rsid w:val="00081861"/>
    <w:rsid w:val="00085F50"/>
    <w:rsid w:val="00096EAD"/>
    <w:rsid w:val="000A3077"/>
    <w:rsid w:val="000B0364"/>
    <w:rsid w:val="000C3CB6"/>
    <w:rsid w:val="000E40A3"/>
    <w:rsid w:val="0012638E"/>
    <w:rsid w:val="00171837"/>
    <w:rsid w:val="001727D0"/>
    <w:rsid w:val="00195DF8"/>
    <w:rsid w:val="001D339E"/>
    <w:rsid w:val="001D33DD"/>
    <w:rsid w:val="001D524C"/>
    <w:rsid w:val="001D6DA2"/>
    <w:rsid w:val="0023756F"/>
    <w:rsid w:val="00240A63"/>
    <w:rsid w:val="00246431"/>
    <w:rsid w:val="00280FFB"/>
    <w:rsid w:val="00281F9B"/>
    <w:rsid w:val="00285960"/>
    <w:rsid w:val="002A01ED"/>
    <w:rsid w:val="002A1C71"/>
    <w:rsid w:val="002C42C5"/>
    <w:rsid w:val="002C544F"/>
    <w:rsid w:val="002E3A9C"/>
    <w:rsid w:val="002F3190"/>
    <w:rsid w:val="00301971"/>
    <w:rsid w:val="00325C52"/>
    <w:rsid w:val="00341A92"/>
    <w:rsid w:val="00342E44"/>
    <w:rsid w:val="00361CA4"/>
    <w:rsid w:val="00372BE0"/>
    <w:rsid w:val="003B3683"/>
    <w:rsid w:val="003B3EE5"/>
    <w:rsid w:val="003B74C6"/>
    <w:rsid w:val="003C5D5F"/>
    <w:rsid w:val="003D3812"/>
    <w:rsid w:val="003E34A1"/>
    <w:rsid w:val="003F5E49"/>
    <w:rsid w:val="0042109A"/>
    <w:rsid w:val="00423A7B"/>
    <w:rsid w:val="004478BF"/>
    <w:rsid w:val="004524A4"/>
    <w:rsid w:val="00467085"/>
    <w:rsid w:val="00474925"/>
    <w:rsid w:val="00481BF6"/>
    <w:rsid w:val="00483185"/>
    <w:rsid w:val="00485F37"/>
    <w:rsid w:val="00493839"/>
    <w:rsid w:val="004C19F6"/>
    <w:rsid w:val="004C4B3E"/>
    <w:rsid w:val="004D656B"/>
    <w:rsid w:val="004E0167"/>
    <w:rsid w:val="004E2341"/>
    <w:rsid w:val="004E592E"/>
    <w:rsid w:val="004F39CC"/>
    <w:rsid w:val="0050744C"/>
    <w:rsid w:val="005200E0"/>
    <w:rsid w:val="00531CBB"/>
    <w:rsid w:val="005452D5"/>
    <w:rsid w:val="00545905"/>
    <w:rsid w:val="00556DEF"/>
    <w:rsid w:val="00562A70"/>
    <w:rsid w:val="00562CA0"/>
    <w:rsid w:val="0057452F"/>
    <w:rsid w:val="00575E8E"/>
    <w:rsid w:val="00576C51"/>
    <w:rsid w:val="00583302"/>
    <w:rsid w:val="005C20E4"/>
    <w:rsid w:val="005D2BE1"/>
    <w:rsid w:val="005D41E7"/>
    <w:rsid w:val="005F7EE9"/>
    <w:rsid w:val="00604798"/>
    <w:rsid w:val="006121FC"/>
    <w:rsid w:val="00616767"/>
    <w:rsid w:val="00616AAA"/>
    <w:rsid w:val="00620DD8"/>
    <w:rsid w:val="006306CC"/>
    <w:rsid w:val="00630CA0"/>
    <w:rsid w:val="00631B45"/>
    <w:rsid w:val="006415D0"/>
    <w:rsid w:val="006453A6"/>
    <w:rsid w:val="00651E09"/>
    <w:rsid w:val="0066225C"/>
    <w:rsid w:val="00667947"/>
    <w:rsid w:val="006973D4"/>
    <w:rsid w:val="006A452B"/>
    <w:rsid w:val="006C512E"/>
    <w:rsid w:val="006D44FC"/>
    <w:rsid w:val="006D7FA6"/>
    <w:rsid w:val="006F18BD"/>
    <w:rsid w:val="0071117C"/>
    <w:rsid w:val="00711E45"/>
    <w:rsid w:val="00717C5D"/>
    <w:rsid w:val="007220F8"/>
    <w:rsid w:val="00750294"/>
    <w:rsid w:val="00762B3E"/>
    <w:rsid w:val="00771426"/>
    <w:rsid w:val="00792EAB"/>
    <w:rsid w:val="007A282A"/>
    <w:rsid w:val="007C2DF9"/>
    <w:rsid w:val="007C44B9"/>
    <w:rsid w:val="007C5A46"/>
    <w:rsid w:val="007D1BCC"/>
    <w:rsid w:val="00807EDB"/>
    <w:rsid w:val="008140BF"/>
    <w:rsid w:val="00816239"/>
    <w:rsid w:val="008211DE"/>
    <w:rsid w:val="00821ECC"/>
    <w:rsid w:val="00826949"/>
    <w:rsid w:val="008412EE"/>
    <w:rsid w:val="00844694"/>
    <w:rsid w:val="00854337"/>
    <w:rsid w:val="008843C9"/>
    <w:rsid w:val="008D42E3"/>
    <w:rsid w:val="008E11E5"/>
    <w:rsid w:val="008E503C"/>
    <w:rsid w:val="00902778"/>
    <w:rsid w:val="00935994"/>
    <w:rsid w:val="00942A7C"/>
    <w:rsid w:val="00944F76"/>
    <w:rsid w:val="009775EC"/>
    <w:rsid w:val="00990962"/>
    <w:rsid w:val="009F2F80"/>
    <w:rsid w:val="009F57DE"/>
    <w:rsid w:val="00A02EF5"/>
    <w:rsid w:val="00A15202"/>
    <w:rsid w:val="00A25639"/>
    <w:rsid w:val="00A60AFF"/>
    <w:rsid w:val="00A922F3"/>
    <w:rsid w:val="00A962B1"/>
    <w:rsid w:val="00AA3A21"/>
    <w:rsid w:val="00AB3BAE"/>
    <w:rsid w:val="00AC07E2"/>
    <w:rsid w:val="00AD16EA"/>
    <w:rsid w:val="00AF1405"/>
    <w:rsid w:val="00B02C9F"/>
    <w:rsid w:val="00B12A54"/>
    <w:rsid w:val="00B244A3"/>
    <w:rsid w:val="00B26131"/>
    <w:rsid w:val="00B41617"/>
    <w:rsid w:val="00B51E11"/>
    <w:rsid w:val="00B57A4E"/>
    <w:rsid w:val="00B70CF6"/>
    <w:rsid w:val="00B772C9"/>
    <w:rsid w:val="00B85719"/>
    <w:rsid w:val="00BE45AA"/>
    <w:rsid w:val="00BE6C9D"/>
    <w:rsid w:val="00BF4DEA"/>
    <w:rsid w:val="00BF6B7C"/>
    <w:rsid w:val="00C01675"/>
    <w:rsid w:val="00C10944"/>
    <w:rsid w:val="00C1447D"/>
    <w:rsid w:val="00C212B9"/>
    <w:rsid w:val="00C268AA"/>
    <w:rsid w:val="00C42B6F"/>
    <w:rsid w:val="00C55F0F"/>
    <w:rsid w:val="00C60486"/>
    <w:rsid w:val="00C71316"/>
    <w:rsid w:val="00C76785"/>
    <w:rsid w:val="00C90692"/>
    <w:rsid w:val="00C94623"/>
    <w:rsid w:val="00CB019E"/>
    <w:rsid w:val="00CD1009"/>
    <w:rsid w:val="00CD747A"/>
    <w:rsid w:val="00CF3B96"/>
    <w:rsid w:val="00CF7AAF"/>
    <w:rsid w:val="00D1211D"/>
    <w:rsid w:val="00D2021E"/>
    <w:rsid w:val="00D305F6"/>
    <w:rsid w:val="00D40C1C"/>
    <w:rsid w:val="00D51B08"/>
    <w:rsid w:val="00D56C93"/>
    <w:rsid w:val="00D9692F"/>
    <w:rsid w:val="00D97834"/>
    <w:rsid w:val="00DA294B"/>
    <w:rsid w:val="00DA313E"/>
    <w:rsid w:val="00DC0AC3"/>
    <w:rsid w:val="00DC0CFA"/>
    <w:rsid w:val="00DF0FCF"/>
    <w:rsid w:val="00DF6C90"/>
    <w:rsid w:val="00DF7936"/>
    <w:rsid w:val="00E34FA9"/>
    <w:rsid w:val="00E4606C"/>
    <w:rsid w:val="00E510A8"/>
    <w:rsid w:val="00E619DF"/>
    <w:rsid w:val="00E66ACC"/>
    <w:rsid w:val="00EA1F5A"/>
    <w:rsid w:val="00EB3737"/>
    <w:rsid w:val="00EB5BE9"/>
    <w:rsid w:val="00EB688B"/>
    <w:rsid w:val="00ED0A0B"/>
    <w:rsid w:val="00ED1D9C"/>
    <w:rsid w:val="00ED5095"/>
    <w:rsid w:val="00F012E4"/>
    <w:rsid w:val="00F033D2"/>
    <w:rsid w:val="00F25224"/>
    <w:rsid w:val="00F2774A"/>
    <w:rsid w:val="00F31BE4"/>
    <w:rsid w:val="00F402B6"/>
    <w:rsid w:val="00F63D46"/>
    <w:rsid w:val="00F642EA"/>
    <w:rsid w:val="00F810FB"/>
    <w:rsid w:val="00F86DBC"/>
    <w:rsid w:val="00FA3D29"/>
    <w:rsid w:val="00FA3DCF"/>
    <w:rsid w:val="00FC58D0"/>
    <w:rsid w:val="00FD0B34"/>
    <w:rsid w:val="00FD393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8D0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FC58D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FC58D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FC58D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C58D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FC58D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FC58D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semiHidden/>
    <w:rsid w:val="00FC58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58D0"/>
  </w:style>
  <w:style w:type="paragraph" w:customStyle="1" w:styleId="BlockLine">
    <w:name w:val="Block Line"/>
    <w:basedOn w:val="Normal"/>
    <w:next w:val="Normal"/>
    <w:rsid w:val="00FC58D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C58D0"/>
  </w:style>
  <w:style w:type="paragraph" w:customStyle="1" w:styleId="BulletText1">
    <w:name w:val="Bullet Text 1"/>
    <w:basedOn w:val="Normal"/>
    <w:rsid w:val="00FC58D0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rsid w:val="00FC58D0"/>
    <w:pPr>
      <w:numPr>
        <w:numId w:val="13"/>
      </w:numPr>
    </w:pPr>
    <w:rPr>
      <w:szCs w:val="20"/>
    </w:rPr>
  </w:style>
  <w:style w:type="paragraph" w:customStyle="1" w:styleId="BulletText3">
    <w:name w:val="Bullet Text 3"/>
    <w:basedOn w:val="Normal"/>
    <w:rsid w:val="00FC58D0"/>
    <w:pPr>
      <w:numPr>
        <w:numId w:val="6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FC58D0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FC58D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C58D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FC58D0"/>
    <w:rPr>
      <w:szCs w:val="20"/>
    </w:rPr>
  </w:style>
  <w:style w:type="character" w:styleId="HTMLAcronym">
    <w:name w:val="HTML Acronym"/>
    <w:basedOn w:val="DefaultParagraphFont"/>
    <w:rsid w:val="00FC58D0"/>
  </w:style>
  <w:style w:type="paragraph" w:customStyle="1" w:styleId="IMTOC">
    <w:name w:val="IMTOC"/>
    <w:rsid w:val="00FC58D0"/>
    <w:rPr>
      <w:sz w:val="24"/>
    </w:rPr>
  </w:style>
  <w:style w:type="paragraph" w:customStyle="1" w:styleId="MapTitleContinued">
    <w:name w:val="Map Title. Continued"/>
    <w:basedOn w:val="Normal"/>
    <w:next w:val="Normal"/>
    <w:rsid w:val="00FC58D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C58D0"/>
  </w:style>
  <w:style w:type="paragraph" w:customStyle="1" w:styleId="NoteText">
    <w:name w:val="Note Text"/>
    <w:basedOn w:val="Normal"/>
    <w:rsid w:val="00FC58D0"/>
    <w:rPr>
      <w:szCs w:val="20"/>
    </w:rPr>
  </w:style>
  <w:style w:type="paragraph" w:customStyle="1" w:styleId="PublicationTitle">
    <w:name w:val="Publication Title"/>
    <w:basedOn w:val="Normal"/>
    <w:next w:val="Heading4"/>
    <w:rsid w:val="00FC58D0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FC58D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FC58D0"/>
    <w:rPr>
      <w:szCs w:val="20"/>
    </w:rPr>
  </w:style>
  <w:style w:type="paragraph" w:customStyle="1" w:styleId="TOCTitle">
    <w:name w:val="TOC Title"/>
    <w:basedOn w:val="Normal"/>
    <w:rsid w:val="00FC58D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C58D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C58D0"/>
    <w:rPr>
      <w:szCs w:val="20"/>
    </w:rPr>
  </w:style>
  <w:style w:type="character" w:styleId="Hyperlink">
    <w:name w:val="Hyperlink"/>
    <w:uiPriority w:val="99"/>
    <w:rsid w:val="00FC58D0"/>
    <w:rPr>
      <w:color w:val="0000FF"/>
      <w:u w:val="single"/>
    </w:rPr>
  </w:style>
  <w:style w:type="paragraph" w:styleId="Header">
    <w:name w:val="header"/>
    <w:basedOn w:val="Normal"/>
    <w:link w:val="HeaderChar2"/>
    <w:rsid w:val="00FC58D0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Footer">
    <w:name w:val="footer"/>
    <w:basedOn w:val="Normal"/>
    <w:link w:val="FooterChar2"/>
    <w:rsid w:val="00FC58D0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FC58D0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4">
    <w:name w:val="toc 4"/>
    <w:basedOn w:val="Normal"/>
    <w:next w:val="Normal"/>
    <w:autoRedefine/>
    <w:uiPriority w:val="39"/>
    <w:rsid w:val="00FC58D0"/>
    <w:pPr>
      <w:ind w:left="720"/>
    </w:pPr>
  </w:style>
  <w:style w:type="paragraph" w:styleId="BalloonText">
    <w:name w:val="Balloon Text"/>
    <w:basedOn w:val="Normal"/>
    <w:semiHidden/>
    <w:rsid w:val="00FC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pPr>
      <w:ind w:left="960"/>
    </w:pPr>
  </w:style>
  <w:style w:type="character" w:customStyle="1" w:styleId="HeaderChar">
    <w:name w:val="Header Char"/>
    <w:rPr>
      <w:color w:val="000000"/>
      <w:sz w:val="24"/>
      <w:szCs w:val="24"/>
    </w:rPr>
  </w:style>
  <w:style w:type="character" w:customStyle="1" w:styleId="FooterChar">
    <w:name w:val="Footer Char"/>
    <w:rPr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FC58D0"/>
    <w:pPr>
      <w:ind w:left="480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color w:val="00000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color w:val="000000"/>
    </w:rPr>
  </w:style>
  <w:style w:type="table" w:styleId="TableGrid">
    <w:name w:val="Table Grid"/>
    <w:basedOn w:val="TableNormal"/>
    <w:rsid w:val="00FC5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rPr>
      <w:sz w:val="24"/>
      <w:szCs w:val="24"/>
      <w:lang w:val="x-none" w:eastAsia="x-none" w:bidi="ar-SA"/>
    </w:rPr>
  </w:style>
  <w:style w:type="character" w:customStyle="1" w:styleId="FooterChar1">
    <w:name w:val="Footer Char1"/>
    <w:rPr>
      <w:sz w:val="24"/>
      <w:szCs w:val="24"/>
      <w:lang w:val="x-none" w:eastAsia="x-none" w:bidi="ar-SA"/>
    </w:rPr>
  </w:style>
  <w:style w:type="character" w:customStyle="1" w:styleId="HeaderChar2">
    <w:name w:val="Header Char2"/>
    <w:link w:val="Header"/>
    <w:rsid w:val="00FC58D0"/>
    <w:rPr>
      <w:sz w:val="24"/>
      <w:szCs w:val="24"/>
      <w:lang w:val="x-none" w:eastAsia="x-none" w:bidi="ar-SA"/>
    </w:rPr>
  </w:style>
  <w:style w:type="character" w:customStyle="1" w:styleId="FooterChar2">
    <w:name w:val="Footer Char2"/>
    <w:link w:val="Footer"/>
    <w:rsid w:val="00FC58D0"/>
    <w:rPr>
      <w:sz w:val="24"/>
      <w:szCs w:val="24"/>
      <w:lang w:val="x-none" w:eastAsia="x-none" w:bidi="ar-SA"/>
    </w:rPr>
  </w:style>
  <w:style w:type="paragraph" w:styleId="NoSpacing">
    <w:name w:val="No Spacing"/>
    <w:qFormat/>
    <w:rsid w:val="00562A7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D16E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eading5Char">
    <w:name w:val="Heading 5 Char"/>
    <w:link w:val="Heading5"/>
    <w:rsid w:val="0057452F"/>
    <w:rPr>
      <w:b/>
      <w:color w:val="000000"/>
      <w:sz w:val="22"/>
    </w:rPr>
  </w:style>
  <w:style w:type="character" w:customStyle="1" w:styleId="Heading4Char">
    <w:name w:val="Heading 4 Char"/>
    <w:link w:val="Heading4"/>
    <w:rsid w:val="00620DD8"/>
    <w:rPr>
      <w:rFonts w:ascii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SMSWEE\Desktop\M27\vairissysadmin@med.va.gov)" TargetMode="External"/><Relationship Id="rId13" Type="http://schemas.openxmlformats.org/officeDocument/2006/relationships/hyperlink" Target="http://vaww.va.gov/irisinfo/irisguides.a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ww.va.gov/IRISINFO/docs/Reports-Explorer-Folder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ww.va.gov/IRISINFO/docs/Using-Standard-Text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vaww.va.gov/IRISINFO/docs/Providing-Inquiry-Support-Standard-Conso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ww.va.gov/IRISINFO/docs/RespondingToInquiriesWithXRefFunctionality.pdf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4152-3C79-4981-BEB3-E21559F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19667</CharactersWithSpaces>
  <SharedDoc>false</SharedDoc>
  <HLinks>
    <vt:vector size="246" baseType="variant">
      <vt:variant>
        <vt:i4>2490417</vt:i4>
      </vt:variant>
      <vt:variant>
        <vt:i4>237</vt:i4>
      </vt:variant>
      <vt:variant>
        <vt:i4>0</vt:i4>
      </vt:variant>
      <vt:variant>
        <vt:i4>5</vt:i4>
      </vt:variant>
      <vt:variant>
        <vt:lpwstr>http://vaww.va.gov/irisinfo/irisguides.asp</vt:lpwstr>
      </vt:variant>
      <vt:variant>
        <vt:lpwstr/>
      </vt:variant>
      <vt:variant>
        <vt:i4>4849668</vt:i4>
      </vt:variant>
      <vt:variant>
        <vt:i4>234</vt:i4>
      </vt:variant>
      <vt:variant>
        <vt:i4>0</vt:i4>
      </vt:variant>
      <vt:variant>
        <vt:i4>5</vt:i4>
      </vt:variant>
      <vt:variant>
        <vt:lpwstr>http://vaww.va.gov/IRISINFO/docs/Reports-Explorer-Folders.pdf</vt:lpwstr>
      </vt:variant>
      <vt:variant>
        <vt:lpwstr/>
      </vt:variant>
      <vt:variant>
        <vt:i4>4259855</vt:i4>
      </vt:variant>
      <vt:variant>
        <vt:i4>228</vt:i4>
      </vt:variant>
      <vt:variant>
        <vt:i4>0</vt:i4>
      </vt:variant>
      <vt:variant>
        <vt:i4>5</vt:i4>
      </vt:variant>
      <vt:variant>
        <vt:lpwstr>http://vaww.va.gov/IRISINFO/docs/Using-Standard-Texts.pdf</vt:lpwstr>
      </vt:variant>
      <vt:variant>
        <vt:lpwstr/>
      </vt:variant>
      <vt:variant>
        <vt:i4>3342458</vt:i4>
      </vt:variant>
      <vt:variant>
        <vt:i4>225</vt:i4>
      </vt:variant>
      <vt:variant>
        <vt:i4>0</vt:i4>
      </vt:variant>
      <vt:variant>
        <vt:i4>5</vt:i4>
      </vt:variant>
      <vt:variant>
        <vt:lpwstr>http://vaww.va.gov/IRISINFO/docs/Providing-Inquiry-Support-Standard-Console.pdf</vt:lpwstr>
      </vt:variant>
      <vt:variant>
        <vt:lpwstr/>
      </vt:variant>
      <vt:variant>
        <vt:i4>6619189</vt:i4>
      </vt:variant>
      <vt:variant>
        <vt:i4>222</vt:i4>
      </vt:variant>
      <vt:variant>
        <vt:i4>0</vt:i4>
      </vt:variant>
      <vt:variant>
        <vt:i4>5</vt:i4>
      </vt:variant>
      <vt:variant>
        <vt:lpwstr>http://vaww.va.gov/IRISINFO/docs/RespondingToInquiriesWithXRefFunctionality.pdf</vt:lpwstr>
      </vt:variant>
      <vt:variant>
        <vt:lpwstr/>
      </vt:variant>
      <vt:variant>
        <vt:i4>7077888</vt:i4>
      </vt:variant>
      <vt:variant>
        <vt:i4>213</vt:i4>
      </vt:variant>
      <vt:variant>
        <vt:i4>0</vt:i4>
      </vt:variant>
      <vt:variant>
        <vt:i4>5</vt:i4>
      </vt:variant>
      <vt:variant>
        <vt:lpwstr>vairissysadmin@med.va.gov)</vt:lpwstr>
      </vt:variant>
      <vt:variant>
        <vt:lpwstr/>
      </vt:variant>
      <vt:variant>
        <vt:i4>1966132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_Toc482620076</vt:lpwstr>
      </vt:variant>
      <vt:variant>
        <vt:i4>1966132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_Toc482620075</vt:lpwstr>
      </vt:variant>
      <vt:variant>
        <vt:i4>1966132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_Toc482620074</vt:lpwstr>
      </vt:variant>
      <vt:variant>
        <vt:i4>1966132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_Toc482620073</vt:lpwstr>
      </vt:variant>
      <vt:variant>
        <vt:i4>1966132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_Toc482620072</vt:lpwstr>
      </vt:variant>
      <vt:variant>
        <vt:i4>1966132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_Toc482620071</vt:lpwstr>
      </vt:variant>
      <vt:variant>
        <vt:i4>1966132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_Toc482620070</vt:lpwstr>
      </vt:variant>
      <vt:variant>
        <vt:i4>2031668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_Toc482620069</vt:lpwstr>
      </vt:variant>
      <vt:variant>
        <vt:i4>2031668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_Toc482620068</vt:lpwstr>
      </vt:variant>
      <vt:variant>
        <vt:i4>2031668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_Toc482620067</vt:lpwstr>
      </vt:variant>
      <vt:variant>
        <vt:i4>2031668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_Toc482620066</vt:lpwstr>
      </vt:variant>
      <vt:variant>
        <vt:i4>2031668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_Toc482620065</vt:lpwstr>
      </vt:variant>
      <vt:variant>
        <vt:i4>2031668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_Toc482620064</vt:lpwstr>
      </vt:variant>
      <vt:variant>
        <vt:i4>2031668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_Toc482620063</vt:lpwstr>
      </vt:variant>
      <vt:variant>
        <vt:i4>1835060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_Toc482620059</vt:lpwstr>
      </vt:variant>
      <vt:variant>
        <vt:i4>1835060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_Toc482620058</vt:lpwstr>
      </vt:variant>
      <vt:variant>
        <vt:i4>1835060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_Toc482620057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_Toc482620056</vt:lpwstr>
      </vt:variant>
      <vt:variant>
        <vt:i4>1835060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_Toc482620055</vt:lpwstr>
      </vt:variant>
      <vt:variant>
        <vt:i4>1835060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_Toc482620054</vt:lpwstr>
      </vt:variant>
      <vt:variant>
        <vt:i4>1835060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_Toc482620053</vt:lpwstr>
      </vt:variant>
      <vt:variant>
        <vt:i4>1835060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_Toc482620052</vt:lpwstr>
      </vt:variant>
      <vt:variant>
        <vt:i4>1835060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_Toc482620051</vt:lpwstr>
      </vt:variant>
      <vt:variant>
        <vt:i4>1835060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_Toc482620050</vt:lpwstr>
      </vt:variant>
      <vt:variant>
        <vt:i4>1900596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_Toc482620049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_Toc482620048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_Toc482620047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_Toc482620046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_Toc482620045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_Toc482620044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_Toc482620043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_Toc482620042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_Toc482620041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_Toc482620040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_Toc482620039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IRIS</dc:subject>
  <dc:creator>Department of Veterans Affairs</dc:creator>
  <cp:lastModifiedBy>Department of Veterans Affairs</cp:lastModifiedBy>
  <cp:revision>2</cp:revision>
  <cp:lastPrinted>2017-08-30T12:44:00Z</cp:lastPrinted>
  <dcterms:created xsi:type="dcterms:W3CDTF">2017-12-14T15:31:00Z</dcterms:created>
  <dcterms:modified xsi:type="dcterms:W3CDTF">2017-12-14T15:31:00Z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REFERENCECODE">
    <vt:lpwstr>II.6</vt:lpwstr>
  </property>
  <property fmtid="{D5CDD505-2E9C-101B-9397-08002B2CF9AE}" pid="4" name="FILENAME">
    <vt:lpwstr>pt02_ch06</vt:lpwstr>
  </property>
  <property fmtid="{D5CDD505-2E9C-101B-9397-08002B2CF9AE}" pid="5" name="TOCNAME">
    <vt:lpwstr>pt02_ch06_toc.doc</vt:lpwstr>
  </property>
  <property fmtid="{D5CDD505-2E9C-101B-9397-08002B2CF9AE}" pid="6" name="DateCreated">
    <vt:lpwstr>2009</vt:lpwstr>
  </property>
  <property fmtid="{D5CDD505-2E9C-101B-9397-08002B2CF9AE}" pid="7" name="DateReviewed">
    <vt:lpwstr>20090623</vt:lpwstr>
  </property>
  <property fmtid="{D5CDD505-2E9C-101B-9397-08002B2CF9AE}" pid="8" name="Language">
    <vt:lpwstr>en</vt:lpwstr>
  </property>
</Properties>
</file>