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86" w:rsidRDefault="00CF2186" w:rsidP="00CF2186">
      <w:pPr>
        <w:pStyle w:val="Heading2"/>
        <w:ind w:left="2160" w:hanging="2160"/>
        <w:jc w:val="left"/>
      </w:pPr>
      <w:bookmarkStart w:id="0" w:name="_GoBack"/>
      <w:bookmarkEnd w:id="0"/>
      <w:r>
        <w:t>Appendix B.</w:t>
      </w:r>
      <w:r>
        <w:tab/>
        <w:t>Recommended Adaptations</w:t>
      </w:r>
      <w:r w:rsidR="00A654A6">
        <w:t xml:space="preserve"> for Special Housing Adaptation</w:t>
      </w:r>
      <w:r>
        <w:t xml:space="preserve"> (SHA)</w:t>
      </w:r>
      <w:r w:rsidR="00A654A6">
        <w:t xml:space="preserve"> Grants</w:t>
      </w:r>
    </w:p>
    <w:p w:rsidR="00CF2186" w:rsidRDefault="00CF2186" w:rsidP="00CF2186">
      <w:pPr>
        <w:pStyle w:val="Heading2"/>
        <w:ind w:left="2160" w:hanging="2160"/>
        <w:jc w:val="left"/>
      </w:pPr>
      <w:r>
        <w:t>Overview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728"/>
        <w:gridCol w:w="7920"/>
      </w:tblGrid>
      <w:tr w:rsidR="00CF2186" w:rsidTr="00717114">
        <w:trPr>
          <w:cantSplit/>
        </w:trPr>
        <w:tc>
          <w:tcPr>
            <w:tcW w:w="1728" w:type="dxa"/>
          </w:tcPr>
          <w:p w:rsidR="00CF2186" w:rsidRDefault="00CF2186" w:rsidP="00717114">
            <w:pPr>
              <w:pStyle w:val="Heading5"/>
            </w:pPr>
            <w:r>
              <w:t>In this Chapter</w:t>
            </w:r>
          </w:p>
        </w:tc>
        <w:tc>
          <w:tcPr>
            <w:tcW w:w="7920" w:type="dxa"/>
          </w:tcPr>
          <w:p w:rsidR="00CF2186" w:rsidRDefault="00CF2186" w:rsidP="00717114">
            <w:pPr>
              <w:pStyle w:val="BlockText"/>
            </w:pPr>
            <w:r>
              <w:t>This chapte</w:t>
            </w:r>
            <w:r w:rsidR="00752009">
              <w:t>r contains the following topics.</w:t>
            </w:r>
          </w:p>
        </w:tc>
      </w:tr>
    </w:tbl>
    <w:p w:rsidR="00CF2186" w:rsidRDefault="00CF2186" w:rsidP="00CF2186"/>
    <w:tbl>
      <w:tblPr>
        <w:tblW w:w="7820" w:type="dxa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0"/>
        <w:gridCol w:w="5940"/>
        <w:gridCol w:w="900"/>
      </w:tblGrid>
      <w:tr w:rsidR="00CF2186" w:rsidTr="00717114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86" w:rsidRDefault="00CF2186" w:rsidP="00717114">
            <w:pPr>
              <w:pStyle w:val="TableHeaderText"/>
            </w:pPr>
            <w:r>
              <w:t>Topic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86" w:rsidRDefault="00CF2186" w:rsidP="00717114">
            <w:pPr>
              <w:pStyle w:val="TableHeaderText"/>
            </w:pPr>
            <w:r>
              <w:t xml:space="preserve">Topic Name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86" w:rsidRDefault="00CF2186" w:rsidP="00717114">
            <w:pPr>
              <w:pStyle w:val="TableHeaderText"/>
            </w:pPr>
            <w:r>
              <w:t>See Page</w:t>
            </w:r>
          </w:p>
        </w:tc>
      </w:tr>
      <w:tr w:rsidR="00CF2186" w:rsidTr="00717114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86" w:rsidRDefault="00CF2186" w:rsidP="00717114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86" w:rsidRDefault="00CF2186" w:rsidP="00717114">
            <w:pPr>
              <w:pStyle w:val="TableText"/>
            </w:pPr>
            <w:r>
              <w:t>General Information About SHA Recommended Adaptations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86" w:rsidRDefault="00CF2186" w:rsidP="00717114">
            <w:pPr>
              <w:pStyle w:val="TableText"/>
              <w:jc w:val="center"/>
            </w:pPr>
            <w:r>
              <w:t>B-2</w:t>
            </w:r>
          </w:p>
        </w:tc>
      </w:tr>
      <w:tr w:rsidR="00CF2186" w:rsidTr="00717114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86" w:rsidRDefault="00CF2186" w:rsidP="00717114">
            <w:pPr>
              <w:pStyle w:val="TableText"/>
              <w:ind w:left="540" w:hanging="540"/>
              <w:jc w:val="center"/>
            </w:pPr>
            <w: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86" w:rsidRDefault="00CF2186" w:rsidP="00717114">
            <w:pPr>
              <w:pStyle w:val="TableText"/>
            </w:pPr>
            <w:r>
              <w:t>Recommended Adaptations for Blindness in Both Eyes with a 20/200 Visual Acuity or Less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86" w:rsidRDefault="00CF2186" w:rsidP="00717114">
            <w:pPr>
              <w:pStyle w:val="TableText"/>
              <w:jc w:val="center"/>
            </w:pPr>
            <w:r>
              <w:t>B-4</w:t>
            </w:r>
          </w:p>
        </w:tc>
      </w:tr>
      <w:tr w:rsidR="00CF2186" w:rsidTr="00717114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86" w:rsidRDefault="00CF2186" w:rsidP="00717114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86" w:rsidRDefault="00CF2186" w:rsidP="00717114">
            <w:pPr>
              <w:pStyle w:val="TableText"/>
            </w:pPr>
            <w:r>
              <w:t>Recommended Adaptations for Loss, or Loss of Use, of Both Hands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86" w:rsidRDefault="00CF2186" w:rsidP="00717114">
            <w:pPr>
              <w:pStyle w:val="TableText"/>
              <w:jc w:val="center"/>
            </w:pPr>
            <w:r>
              <w:t>B-7</w:t>
            </w:r>
          </w:p>
        </w:tc>
      </w:tr>
      <w:tr w:rsidR="00CF2186" w:rsidTr="00717114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86" w:rsidRDefault="00CF2186" w:rsidP="00717114">
            <w:pPr>
              <w:pStyle w:val="TableText"/>
              <w:jc w:val="center"/>
            </w:pPr>
            <w: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86" w:rsidRDefault="00CF2186" w:rsidP="00717114">
            <w:pPr>
              <w:pStyle w:val="TableText"/>
            </w:pPr>
            <w:r>
              <w:t>Recommended Adaptations fo</w:t>
            </w:r>
            <w:r w:rsidR="00A654A6">
              <w:t>r Burn Injuries and Respiratory-</w:t>
            </w:r>
            <w:r>
              <w:t>Related Injuries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86" w:rsidRDefault="00CF2186" w:rsidP="00717114">
            <w:pPr>
              <w:pStyle w:val="TableText"/>
              <w:jc w:val="center"/>
            </w:pPr>
            <w:r>
              <w:t>B-8</w:t>
            </w:r>
          </w:p>
        </w:tc>
      </w:tr>
      <w:tr w:rsidR="00CF2186" w:rsidTr="00717114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86" w:rsidRDefault="00CF2186" w:rsidP="00717114">
            <w:pPr>
              <w:pStyle w:val="TableText"/>
              <w:jc w:val="center"/>
            </w:pPr>
            <w:r>
              <w:t>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86" w:rsidRDefault="00CF2186" w:rsidP="00717114">
            <w:pPr>
              <w:pStyle w:val="TableText"/>
            </w:pPr>
            <w:r>
              <w:t>Recommended Adaptations for Secondary Disabilities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86" w:rsidRDefault="00CF2186" w:rsidP="00717114">
            <w:pPr>
              <w:pStyle w:val="TableText"/>
              <w:jc w:val="center"/>
            </w:pPr>
            <w:r>
              <w:t>B-9</w:t>
            </w:r>
          </w:p>
        </w:tc>
      </w:tr>
    </w:tbl>
    <w:p w:rsidR="00CF2186" w:rsidRDefault="00CF2186" w:rsidP="00CF2186">
      <w:pPr>
        <w:pStyle w:val="BlockLine"/>
        <w:ind w:right="-180"/>
      </w:pPr>
      <w:r>
        <w:t xml:space="preserve"> </w:t>
      </w:r>
    </w:p>
    <w:p w:rsidR="00CF2186" w:rsidRDefault="00CF2186" w:rsidP="00CF2186"/>
    <w:p w:rsidR="00CF2186" w:rsidRPr="00430654" w:rsidRDefault="00CF2186" w:rsidP="004568D0">
      <w:pPr>
        <w:pStyle w:val="Heading4"/>
        <w:ind w:left="810" w:hanging="450"/>
        <w:rPr>
          <w:rFonts w:cs="Arial"/>
          <w:szCs w:val="32"/>
        </w:rPr>
      </w:pPr>
      <w:r>
        <w:br w:type="page"/>
      </w:r>
      <w:r w:rsidR="004568D0">
        <w:lastRenderedPageBreak/>
        <w:t xml:space="preserve">1.  </w:t>
      </w:r>
      <w:r w:rsidRPr="00430654">
        <w:rPr>
          <w:rFonts w:cs="Arial"/>
          <w:szCs w:val="32"/>
        </w:rPr>
        <w:t xml:space="preserve">General Information </w:t>
      </w:r>
      <w:r>
        <w:rPr>
          <w:rFonts w:cs="Arial"/>
          <w:szCs w:val="32"/>
        </w:rPr>
        <w:t>a</w:t>
      </w:r>
      <w:r w:rsidRPr="00430654">
        <w:rPr>
          <w:rFonts w:cs="Arial"/>
          <w:szCs w:val="32"/>
        </w:rPr>
        <w:t xml:space="preserve">bout </w:t>
      </w:r>
      <w:r>
        <w:rPr>
          <w:rFonts w:cs="Arial"/>
          <w:szCs w:val="32"/>
        </w:rPr>
        <w:t>SHA Recommended Adaptations</w:t>
      </w:r>
    </w:p>
    <w:p w:rsidR="00CF2186" w:rsidRDefault="00CF2186" w:rsidP="00CF2186">
      <w:pPr>
        <w:pStyle w:val="BlockLine"/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7740"/>
      </w:tblGrid>
      <w:tr w:rsidR="00C752B4" w:rsidTr="00C752B4">
        <w:trPr>
          <w:cantSplit/>
        </w:trPr>
        <w:tc>
          <w:tcPr>
            <w:tcW w:w="1728" w:type="dxa"/>
            <w:hideMark/>
          </w:tcPr>
          <w:p w:rsidR="00C752B4" w:rsidRPr="001D4876" w:rsidRDefault="001D4876">
            <w:pPr>
              <w:pStyle w:val="Heading5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Change D</w:t>
            </w:r>
            <w:r w:rsidR="00C752B4" w:rsidRPr="001D4876">
              <w:rPr>
                <w:sz w:val="23"/>
                <w:szCs w:val="23"/>
              </w:rPr>
              <w:t>ate</w:t>
            </w:r>
          </w:p>
        </w:tc>
        <w:tc>
          <w:tcPr>
            <w:tcW w:w="7740" w:type="dxa"/>
            <w:hideMark/>
          </w:tcPr>
          <w:p w:rsidR="00A7756A" w:rsidRDefault="00A7756A" w:rsidP="00A7756A">
            <w:pPr>
              <w:pStyle w:val="BlockText"/>
            </w:pPr>
            <w:r>
              <w:t>February 12, 2014, Change 1</w:t>
            </w:r>
          </w:p>
          <w:p w:rsidR="00C752B4" w:rsidRDefault="00C752B4" w:rsidP="00C752B4">
            <w:pPr>
              <w:pStyle w:val="BulletText1"/>
              <w:numPr>
                <w:ilvl w:val="0"/>
                <w:numId w:val="14"/>
              </w:numPr>
              <w:spacing w:line="276" w:lineRule="auto"/>
              <w:ind w:left="187" w:hanging="18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This entire section has been updated.</w:t>
            </w:r>
          </w:p>
        </w:tc>
      </w:tr>
    </w:tbl>
    <w:p w:rsidR="00C752B4" w:rsidRDefault="00C752B4" w:rsidP="00C752B4">
      <w:pPr>
        <w:pStyle w:val="BlockLine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F2186" w:rsidTr="00717114">
        <w:trPr>
          <w:cantSplit/>
        </w:trPr>
        <w:tc>
          <w:tcPr>
            <w:tcW w:w="1728" w:type="dxa"/>
          </w:tcPr>
          <w:p w:rsidR="00CF2186" w:rsidRDefault="00CF2186" w:rsidP="00717114">
            <w:pPr>
              <w:pStyle w:val="Heading5"/>
            </w:pPr>
            <w:r>
              <w:t>a. Description</w:t>
            </w:r>
          </w:p>
        </w:tc>
        <w:tc>
          <w:tcPr>
            <w:tcW w:w="7740" w:type="dxa"/>
          </w:tcPr>
          <w:p w:rsidR="00CF2186" w:rsidRDefault="00CF2186" w:rsidP="00717114">
            <w:pPr>
              <w:pStyle w:val="BlockText"/>
            </w:pPr>
            <w:r>
              <w:t xml:space="preserve">Recommended Adaptations (RAs) are suggested modifications and are </w:t>
            </w:r>
            <w:r w:rsidRPr="004568D0">
              <w:t>not</w:t>
            </w:r>
            <w:r>
              <w:t xml:space="preserve"> required for grant approval.  There are no minimum property requirements (MPRs)</w:t>
            </w:r>
            <w:r w:rsidR="00A654A6">
              <w:t xml:space="preserve"> for Special Housing Adaptation</w:t>
            </w:r>
            <w:r>
              <w:t xml:space="preserve"> (SHA) grants.  RAs were developed over time by SAH experts who have gained an understanding of the residential needs of Veterans eligible for the SHA grant.</w:t>
            </w:r>
          </w:p>
        </w:tc>
      </w:tr>
    </w:tbl>
    <w:p w:rsidR="00CF2186" w:rsidRDefault="00CF2186" w:rsidP="00CF2186">
      <w:pPr>
        <w:pStyle w:val="BlockLine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F2186" w:rsidTr="00717114">
        <w:trPr>
          <w:cantSplit/>
        </w:trPr>
        <w:tc>
          <w:tcPr>
            <w:tcW w:w="1728" w:type="dxa"/>
          </w:tcPr>
          <w:p w:rsidR="00CF2186" w:rsidRDefault="00CF2186" w:rsidP="004568D0">
            <w:pPr>
              <w:pStyle w:val="Heading5"/>
            </w:pPr>
            <w:r>
              <w:t xml:space="preserve">b. Statutory </w:t>
            </w:r>
            <w:r w:rsidR="004568D0">
              <w:t>R</w:t>
            </w:r>
            <w:r>
              <w:t>equirement</w:t>
            </w:r>
          </w:p>
        </w:tc>
        <w:tc>
          <w:tcPr>
            <w:tcW w:w="7740" w:type="dxa"/>
          </w:tcPr>
          <w:p w:rsidR="00CF2186" w:rsidRDefault="00CF2186" w:rsidP="004568D0">
            <w:pPr>
              <w:pStyle w:val="BlockText"/>
              <w:numPr>
                <w:ilvl w:val="12"/>
                <w:numId w:val="0"/>
              </w:numPr>
            </w:pPr>
            <w:r w:rsidRPr="00352173">
              <w:t>38 United States Code, Chapter 21</w:t>
            </w:r>
            <w:r w:rsidR="004568D0">
              <w:t>,</w:t>
            </w:r>
            <w:r w:rsidRPr="002A30D7">
              <w:rPr>
                <w:color w:val="0070C0"/>
              </w:rPr>
              <w:t xml:space="preserve"> </w:t>
            </w:r>
            <w:r>
              <w:t xml:space="preserve">or </w:t>
            </w:r>
            <w:r w:rsidRPr="00352173">
              <w:t>38 Code of Federal</w:t>
            </w:r>
            <w:r w:rsidRPr="001D4876">
              <w:rPr>
                <w:color w:val="0070C0"/>
              </w:rPr>
              <w:t xml:space="preserve"> </w:t>
            </w:r>
            <w:r w:rsidRPr="00352173">
              <w:t>Regulations 36.4401</w:t>
            </w:r>
            <w:r>
              <w:t xml:space="preserve"> through </w:t>
            </w:r>
            <w:r w:rsidRPr="00352173">
              <w:t>36.4410</w:t>
            </w:r>
            <w:r>
              <w:t>,</w:t>
            </w:r>
            <w:r w:rsidRPr="00930DBE">
              <w:t xml:space="preserve"> </w:t>
            </w:r>
            <w:r>
              <w:t xml:space="preserve">is the governing law that states SHA grants </w:t>
            </w:r>
            <w:r w:rsidRPr="004568D0">
              <w:t>must</w:t>
            </w:r>
            <w:r>
              <w:t xml:space="preserve"> be made available for adaptations determined to be reasonably necessary by the nature of the Veteran’s disability.</w:t>
            </w:r>
          </w:p>
        </w:tc>
      </w:tr>
    </w:tbl>
    <w:p w:rsidR="00CF2186" w:rsidRDefault="00CF2186" w:rsidP="00CF2186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F2186" w:rsidTr="00717114">
        <w:trPr>
          <w:cantSplit/>
        </w:trPr>
        <w:tc>
          <w:tcPr>
            <w:tcW w:w="1728" w:type="dxa"/>
          </w:tcPr>
          <w:p w:rsidR="00CF2186" w:rsidRDefault="004568D0" w:rsidP="001D4876">
            <w:pPr>
              <w:pStyle w:val="Heading5"/>
            </w:pPr>
            <w:r>
              <w:t xml:space="preserve">c. </w:t>
            </w:r>
            <w:r w:rsidR="001D4876">
              <w:t>RAs</w:t>
            </w:r>
            <w:r>
              <w:t xml:space="preserve"> Based on Disability T</w:t>
            </w:r>
            <w:r w:rsidR="00CF2186">
              <w:t>ype</w:t>
            </w:r>
          </w:p>
        </w:tc>
        <w:tc>
          <w:tcPr>
            <w:tcW w:w="7740" w:type="dxa"/>
          </w:tcPr>
          <w:p w:rsidR="00CF2186" w:rsidRDefault="00CF2186" w:rsidP="00717114">
            <w:pPr>
              <w:pStyle w:val="BlockText"/>
              <w:numPr>
                <w:ilvl w:val="12"/>
                <w:numId w:val="0"/>
              </w:numPr>
            </w:pPr>
            <w:r>
              <w:t>The RAs for SHA cases are based on the following types of disabilities:</w:t>
            </w:r>
          </w:p>
          <w:p w:rsidR="00CF2186" w:rsidRDefault="00CF2186" w:rsidP="00717114">
            <w:pPr>
              <w:pStyle w:val="BlockText"/>
              <w:numPr>
                <w:ilvl w:val="12"/>
                <w:numId w:val="0"/>
              </w:numPr>
            </w:pPr>
          </w:p>
          <w:p w:rsidR="00CF2186" w:rsidRDefault="00CF2186" w:rsidP="00CF2186">
            <w:pPr>
              <w:pStyle w:val="BulletText1"/>
              <w:numPr>
                <w:ilvl w:val="0"/>
                <w:numId w:val="3"/>
              </w:numPr>
            </w:pPr>
            <w:r>
              <w:t>blindness in both eyes with a 20/200 visual acuity or less</w:t>
            </w:r>
            <w:r w:rsidR="004568D0">
              <w:t>,</w:t>
            </w:r>
          </w:p>
          <w:p w:rsidR="00CF2186" w:rsidRDefault="00CF2186" w:rsidP="00CF2186">
            <w:pPr>
              <w:pStyle w:val="BulletText1"/>
              <w:numPr>
                <w:ilvl w:val="0"/>
                <w:numId w:val="3"/>
              </w:numPr>
            </w:pPr>
            <w:r>
              <w:t>loss, or loss of use, of both hands</w:t>
            </w:r>
            <w:r w:rsidR="004568D0">
              <w:t>,</w:t>
            </w:r>
          </w:p>
          <w:p w:rsidR="00CF2186" w:rsidRDefault="00CF2186" w:rsidP="00CF2186">
            <w:pPr>
              <w:pStyle w:val="BulletText1"/>
              <w:numPr>
                <w:ilvl w:val="0"/>
                <w:numId w:val="3"/>
              </w:numPr>
            </w:pPr>
            <w:r>
              <w:t>certain severe burn injuries and severe respiratory injuries</w:t>
            </w:r>
            <w:r w:rsidR="004568D0">
              <w:t>, and</w:t>
            </w:r>
          </w:p>
          <w:p w:rsidR="00CF2186" w:rsidRDefault="00CF2186" w:rsidP="00CF2186">
            <w:pPr>
              <w:pStyle w:val="BlockText"/>
              <w:numPr>
                <w:ilvl w:val="0"/>
                <w:numId w:val="3"/>
              </w:numPr>
            </w:pPr>
            <w:r>
              <w:t>secondary disabilities</w:t>
            </w:r>
            <w:r w:rsidR="004568D0">
              <w:t>.</w:t>
            </w:r>
          </w:p>
        </w:tc>
      </w:tr>
    </w:tbl>
    <w:p w:rsidR="00CF2186" w:rsidRDefault="00CF2186" w:rsidP="00CF2186">
      <w:pPr>
        <w:pStyle w:val="BlockLine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F2186" w:rsidTr="00717114">
        <w:trPr>
          <w:cantSplit/>
          <w:trHeight w:val="2439"/>
        </w:trPr>
        <w:tc>
          <w:tcPr>
            <w:tcW w:w="1728" w:type="dxa"/>
          </w:tcPr>
          <w:p w:rsidR="00CF2186" w:rsidRDefault="004568D0" w:rsidP="004568D0">
            <w:pPr>
              <w:pStyle w:val="Heading5"/>
            </w:pPr>
            <w:r>
              <w:t>d. Flexibility and E</w:t>
            </w:r>
            <w:r w:rsidR="00CF2186">
              <w:t xml:space="preserve">xercise of </w:t>
            </w:r>
            <w:r>
              <w:t>J</w:t>
            </w:r>
            <w:r w:rsidR="00CF2186">
              <w:t>udgment</w:t>
            </w:r>
          </w:p>
        </w:tc>
        <w:tc>
          <w:tcPr>
            <w:tcW w:w="7740" w:type="dxa"/>
          </w:tcPr>
          <w:p w:rsidR="00CF2186" w:rsidRDefault="00CF2186" w:rsidP="00717114">
            <w:pPr>
              <w:pStyle w:val="BlockText"/>
            </w:pPr>
            <w:r>
              <w:t xml:space="preserve">There is a need for flexibility and the exercise of judgment based on the physical capabilities and limitations of each Veteran.  Equally important is the need to anticipate the Veteran’s future needs.  SAH </w:t>
            </w:r>
            <w:r w:rsidR="004568D0">
              <w:t>Agents</w:t>
            </w:r>
            <w:r>
              <w:t xml:space="preserve"> should assist the Veteran in using a modular approach to adapting the housing unit.  That is, RAs should be chosen by the Veteran on an as needed, or as desired, basis.  SAH </w:t>
            </w:r>
            <w:r w:rsidR="004568D0">
              <w:t>Agents</w:t>
            </w:r>
            <w:r>
              <w:t xml:space="preserve"> can contribute significantly to this process by merging awareness of the Veteran’s capabilities and future needs with a thorough understanding of the RAs and the collective experience of SAH personnel.</w:t>
            </w:r>
          </w:p>
        </w:tc>
      </w:tr>
    </w:tbl>
    <w:p w:rsidR="00CF2186" w:rsidRDefault="00CF2186" w:rsidP="00CF2186">
      <w:pPr>
        <w:pStyle w:val="BlockLine"/>
        <w:numPr>
          <w:ilvl w:val="12"/>
          <w:numId w:val="0"/>
        </w:numPr>
        <w:ind w:left="170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F2186" w:rsidRPr="00695458" w:rsidTr="00717114">
        <w:trPr>
          <w:cantSplit/>
        </w:trPr>
        <w:tc>
          <w:tcPr>
            <w:tcW w:w="1728" w:type="dxa"/>
          </w:tcPr>
          <w:p w:rsidR="00CF2186" w:rsidRDefault="004568D0" w:rsidP="00717114">
            <w:pPr>
              <w:pStyle w:val="Heading5"/>
              <w:numPr>
                <w:ilvl w:val="12"/>
                <w:numId w:val="0"/>
              </w:numPr>
            </w:pPr>
            <w:r>
              <w:t>e. Waiver and A</w:t>
            </w:r>
            <w:r w:rsidR="00CF2186">
              <w:t>pproval</w:t>
            </w:r>
          </w:p>
        </w:tc>
        <w:tc>
          <w:tcPr>
            <w:tcW w:w="7740" w:type="dxa"/>
          </w:tcPr>
          <w:p w:rsidR="00CF2186" w:rsidRPr="00695458" w:rsidRDefault="00CF2186" w:rsidP="00717114">
            <w:pPr>
              <w:pStyle w:val="BlockText"/>
              <w:numPr>
                <w:ilvl w:val="12"/>
                <w:numId w:val="0"/>
              </w:numPr>
            </w:pPr>
            <w:r>
              <w:t xml:space="preserve">There is no waiver process for SHA RAs.  </w:t>
            </w:r>
            <w:r w:rsidRPr="00695458">
              <w:t>It is not a requirement that every RA be incorporated into the design of each room</w:t>
            </w:r>
            <w:r>
              <w:t>, or area,</w:t>
            </w:r>
            <w:r w:rsidRPr="00695458">
              <w:t xml:space="preserve"> being adapted.  </w:t>
            </w:r>
            <w:r>
              <w:t>Veterans</w:t>
            </w:r>
            <w:r w:rsidRPr="00695458">
              <w:t xml:space="preserve"> have freedom of choice and may select individual features.</w:t>
            </w:r>
          </w:p>
        </w:tc>
      </w:tr>
    </w:tbl>
    <w:p w:rsidR="00CF2186" w:rsidRDefault="00CF2186" w:rsidP="00C752B4">
      <w:pPr>
        <w:pStyle w:val="BlockLine"/>
        <w:numPr>
          <w:ilvl w:val="12"/>
          <w:numId w:val="0"/>
        </w:numPr>
        <w:ind w:left="1700"/>
        <w:jc w:val="right"/>
      </w:pPr>
      <w:r>
        <w:rPr>
          <w:i/>
        </w:rPr>
        <w:t>Continued on next page</w:t>
      </w:r>
      <w:r>
        <w:br w:type="page"/>
      </w:r>
    </w:p>
    <w:p w:rsidR="004568D0" w:rsidRPr="00430654" w:rsidRDefault="004568D0" w:rsidP="004568D0">
      <w:pPr>
        <w:pStyle w:val="Heading4"/>
        <w:ind w:left="810" w:hanging="450"/>
        <w:rPr>
          <w:rFonts w:cs="Arial"/>
          <w:szCs w:val="32"/>
        </w:rPr>
      </w:pPr>
      <w:r>
        <w:lastRenderedPageBreak/>
        <w:t xml:space="preserve">1.  </w:t>
      </w:r>
      <w:r w:rsidRPr="00430654">
        <w:t xml:space="preserve">General Information </w:t>
      </w:r>
      <w:r>
        <w:t>a</w:t>
      </w:r>
      <w:r w:rsidRPr="00430654">
        <w:t xml:space="preserve">bout </w:t>
      </w:r>
      <w:r>
        <w:t>SHA Recommended Adaptations, continued</w:t>
      </w:r>
    </w:p>
    <w:p w:rsidR="004568D0" w:rsidRDefault="004568D0" w:rsidP="004568D0">
      <w:pPr>
        <w:pStyle w:val="BlockLine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F2186" w:rsidTr="00717114">
        <w:trPr>
          <w:cantSplit/>
        </w:trPr>
        <w:tc>
          <w:tcPr>
            <w:tcW w:w="1728" w:type="dxa"/>
          </w:tcPr>
          <w:p w:rsidR="00CF2186" w:rsidRDefault="00CF2186" w:rsidP="00717114">
            <w:pPr>
              <w:pStyle w:val="Heading5"/>
              <w:numPr>
                <w:ilvl w:val="12"/>
                <w:numId w:val="0"/>
              </w:numPr>
            </w:pPr>
            <w:r>
              <w:t>f. Limitations</w:t>
            </w:r>
          </w:p>
        </w:tc>
        <w:tc>
          <w:tcPr>
            <w:tcW w:w="7740" w:type="dxa"/>
          </w:tcPr>
          <w:p w:rsidR="00CF2186" w:rsidRPr="008B2684" w:rsidRDefault="00CF2186" w:rsidP="00717114">
            <w:pPr>
              <w:pStyle w:val="BlockText"/>
              <w:rPr>
                <w:b/>
              </w:rPr>
            </w:pPr>
            <w:r>
              <w:t>The list of RAs is substantial, but not all-inclusive.  Therefore, if a Veteran desires a</w:t>
            </w:r>
            <w:r w:rsidR="004568D0">
              <w:t>n</w:t>
            </w:r>
            <w:r>
              <w:t xml:space="preserve"> RA not included in Appendix B, a request </w:t>
            </w:r>
            <w:r w:rsidRPr="004568D0">
              <w:t>must</w:t>
            </w:r>
            <w:r>
              <w:t xml:space="preserve"> be submitted by the Veteran, along with justification for the RA.  The R</w:t>
            </w:r>
            <w:r w:rsidR="00A654A6">
              <w:t xml:space="preserve">egional </w:t>
            </w:r>
            <w:r>
              <w:t>L</w:t>
            </w:r>
            <w:r w:rsidR="00A654A6">
              <w:t xml:space="preserve">oan </w:t>
            </w:r>
            <w:r>
              <w:t>C</w:t>
            </w:r>
            <w:r w:rsidR="00A654A6">
              <w:t>enter (RLC)</w:t>
            </w:r>
            <w:r>
              <w:t xml:space="preserve"> </w:t>
            </w:r>
            <w:r w:rsidRPr="004568D0">
              <w:t>must</w:t>
            </w:r>
            <w:r>
              <w:t xml:space="preserve"> submit this request along with a recommendation to C</w:t>
            </w:r>
            <w:r w:rsidR="00A654A6">
              <w:t xml:space="preserve">entral </w:t>
            </w:r>
            <w:r>
              <w:t>O</w:t>
            </w:r>
            <w:r w:rsidR="00A654A6">
              <w:t>ffice (CO)</w:t>
            </w:r>
            <w:r>
              <w:t xml:space="preserve"> for approval or denial.</w:t>
            </w:r>
          </w:p>
          <w:p w:rsidR="00CF2186" w:rsidRPr="00695458" w:rsidRDefault="00CF2186" w:rsidP="00717114">
            <w:pPr>
              <w:pStyle w:val="BlockText"/>
            </w:pPr>
          </w:p>
          <w:p w:rsidR="00CF2186" w:rsidRPr="00342C45" w:rsidRDefault="00CF2186" w:rsidP="00717114">
            <w:pPr>
              <w:pStyle w:val="BlockText"/>
            </w:pPr>
            <w:r w:rsidRPr="001D4876">
              <w:rPr>
                <w:b/>
                <w:i/>
              </w:rPr>
              <w:t>Important</w:t>
            </w:r>
            <w:r>
              <w:rPr>
                <w:b/>
                <w:i/>
              </w:rPr>
              <w:t xml:space="preserve">:  </w:t>
            </w:r>
            <w:r>
              <w:t xml:space="preserve">Grant funds </w:t>
            </w:r>
            <w:r w:rsidRPr="004568D0">
              <w:t>must</w:t>
            </w:r>
            <w:r>
              <w:t xml:space="preserve"> not </w:t>
            </w:r>
            <w:r w:rsidRPr="00342C45">
              <w:t xml:space="preserve">be used to cure deferred maintenance.   </w:t>
            </w:r>
          </w:p>
        </w:tc>
      </w:tr>
    </w:tbl>
    <w:p w:rsidR="00CF2186" w:rsidRDefault="00CF2186" w:rsidP="00CF2186">
      <w:pPr>
        <w:pStyle w:val="BlockLine"/>
      </w:pPr>
    </w:p>
    <w:p w:rsidR="00CF2186" w:rsidRPr="00430654" w:rsidRDefault="00CF2186" w:rsidP="004568D0">
      <w:pPr>
        <w:pStyle w:val="Heading3"/>
        <w:keepNext/>
        <w:keepLines/>
        <w:spacing w:before="200" w:after="0"/>
        <w:ind w:left="810" w:hanging="810"/>
        <w:jc w:val="left"/>
        <w:rPr>
          <w:rFonts w:cs="Arial"/>
          <w:szCs w:val="32"/>
        </w:rPr>
      </w:pPr>
      <w:r>
        <w:br w:type="page"/>
      </w:r>
      <w:r w:rsidR="004568D0">
        <w:lastRenderedPageBreak/>
        <w:t xml:space="preserve">    2.  </w:t>
      </w:r>
      <w:r w:rsidRPr="00430654">
        <w:rPr>
          <w:rFonts w:cs="Arial"/>
          <w:szCs w:val="32"/>
        </w:rPr>
        <w:t>R</w:t>
      </w:r>
      <w:r>
        <w:rPr>
          <w:rFonts w:cs="Arial"/>
          <w:szCs w:val="32"/>
        </w:rPr>
        <w:t>ecommended Adaptations</w:t>
      </w:r>
      <w:r w:rsidRPr="00430654">
        <w:rPr>
          <w:rFonts w:cs="Arial"/>
          <w:szCs w:val="32"/>
        </w:rPr>
        <w:t xml:space="preserve"> </w:t>
      </w:r>
      <w:r>
        <w:rPr>
          <w:rFonts w:cs="Arial"/>
          <w:szCs w:val="32"/>
        </w:rPr>
        <w:t>for Blindness in Both Eyes with a 20/200 Visual Acuity or Less</w:t>
      </w:r>
    </w:p>
    <w:p w:rsidR="00C752B4" w:rsidRDefault="00CF2186" w:rsidP="00CF2186">
      <w:pPr>
        <w:pStyle w:val="BlockLine"/>
      </w:pPr>
      <w:r>
        <w:t xml:space="preserve">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7740"/>
      </w:tblGrid>
      <w:tr w:rsidR="00C752B4" w:rsidRPr="00C752B4" w:rsidTr="00C752B4">
        <w:trPr>
          <w:cantSplit/>
        </w:trPr>
        <w:tc>
          <w:tcPr>
            <w:tcW w:w="1728" w:type="dxa"/>
            <w:hideMark/>
          </w:tcPr>
          <w:p w:rsidR="00C752B4" w:rsidRPr="001D4876" w:rsidRDefault="00C752B4">
            <w:pPr>
              <w:pStyle w:val="Heading5"/>
              <w:spacing w:line="276" w:lineRule="auto"/>
              <w:rPr>
                <w:sz w:val="23"/>
                <w:szCs w:val="23"/>
              </w:rPr>
            </w:pPr>
            <w:r w:rsidRPr="001D4876">
              <w:rPr>
                <w:sz w:val="23"/>
                <w:szCs w:val="23"/>
              </w:rPr>
              <w:t>Change date</w:t>
            </w:r>
          </w:p>
        </w:tc>
        <w:tc>
          <w:tcPr>
            <w:tcW w:w="7740" w:type="dxa"/>
            <w:hideMark/>
          </w:tcPr>
          <w:p w:rsidR="00A7756A" w:rsidRDefault="00A7756A" w:rsidP="00A7756A">
            <w:pPr>
              <w:pStyle w:val="BlockText"/>
            </w:pPr>
            <w:r>
              <w:t>February 12, 2014, Change 1</w:t>
            </w:r>
          </w:p>
          <w:p w:rsidR="00C752B4" w:rsidRPr="00C752B4" w:rsidRDefault="00C752B4" w:rsidP="00C752B4">
            <w:pPr>
              <w:pStyle w:val="BulletText1"/>
              <w:numPr>
                <w:ilvl w:val="0"/>
                <w:numId w:val="13"/>
              </w:numPr>
              <w:spacing w:line="276" w:lineRule="auto"/>
              <w:ind w:left="187" w:hanging="187"/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This entire section has been updated.</w:t>
            </w:r>
          </w:p>
        </w:tc>
      </w:tr>
    </w:tbl>
    <w:p w:rsidR="00CF2186" w:rsidRPr="00C752B4" w:rsidRDefault="00C752B4" w:rsidP="00C752B4">
      <w:pPr>
        <w:pStyle w:val="BlockLine"/>
        <w:rPr>
          <w:sz w:val="23"/>
          <w:szCs w:val="23"/>
        </w:rPr>
      </w:pPr>
      <w:r w:rsidRPr="00C752B4">
        <w:rPr>
          <w:sz w:val="23"/>
          <w:szCs w:val="23"/>
        </w:rP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F2186" w:rsidRPr="00C752B4" w:rsidTr="00717114">
        <w:trPr>
          <w:cantSplit/>
        </w:trPr>
        <w:tc>
          <w:tcPr>
            <w:tcW w:w="1728" w:type="dxa"/>
          </w:tcPr>
          <w:p w:rsidR="00CF2186" w:rsidRPr="00C752B4" w:rsidRDefault="00CF2186" w:rsidP="001D4876">
            <w:pPr>
              <w:pStyle w:val="Heading5"/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 xml:space="preserve">a. </w:t>
            </w:r>
            <w:r w:rsidR="001D4876">
              <w:rPr>
                <w:sz w:val="23"/>
                <w:szCs w:val="23"/>
              </w:rPr>
              <w:t>RAs</w:t>
            </w:r>
          </w:p>
        </w:tc>
        <w:tc>
          <w:tcPr>
            <w:tcW w:w="7740" w:type="dxa"/>
          </w:tcPr>
          <w:p w:rsidR="00CF2186" w:rsidRPr="00C752B4" w:rsidRDefault="00CF2186" w:rsidP="00717114">
            <w:pPr>
              <w:numPr>
                <w:ilvl w:val="12"/>
                <w:numId w:val="0"/>
              </w:numPr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This topic contains information about RAs for blindness in both eyes with a 20/200 visual acuity or less, including:</w:t>
            </w:r>
          </w:p>
          <w:p w:rsidR="00CF2186" w:rsidRPr="00C752B4" w:rsidRDefault="00CF2186" w:rsidP="00717114">
            <w:pPr>
              <w:numPr>
                <w:ilvl w:val="12"/>
                <w:numId w:val="0"/>
              </w:numPr>
              <w:rPr>
                <w:sz w:val="23"/>
                <w:szCs w:val="23"/>
              </w:rPr>
            </w:pPr>
          </w:p>
          <w:p w:rsidR="00CF2186" w:rsidRPr="00C752B4" w:rsidRDefault="00CF2186" w:rsidP="00CF2186">
            <w:pPr>
              <w:numPr>
                <w:ilvl w:val="0"/>
                <w:numId w:val="4"/>
              </w:numPr>
              <w:tabs>
                <w:tab w:val="left" w:pos="187"/>
              </w:tabs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special lighting</w:t>
            </w:r>
            <w:r w:rsidR="004568D0" w:rsidRPr="00C752B4">
              <w:rPr>
                <w:sz w:val="23"/>
                <w:szCs w:val="23"/>
              </w:rPr>
              <w:t>,</w:t>
            </w:r>
          </w:p>
          <w:p w:rsidR="00CF2186" w:rsidRPr="00C752B4" w:rsidRDefault="00CF2186" w:rsidP="00CF2186">
            <w:pPr>
              <w:numPr>
                <w:ilvl w:val="0"/>
                <w:numId w:val="4"/>
              </w:numPr>
              <w:tabs>
                <w:tab w:val="left" w:pos="187"/>
              </w:tabs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doors</w:t>
            </w:r>
            <w:r w:rsidR="004568D0" w:rsidRPr="00C752B4">
              <w:rPr>
                <w:sz w:val="23"/>
                <w:szCs w:val="23"/>
              </w:rPr>
              <w:t>,</w:t>
            </w:r>
          </w:p>
          <w:p w:rsidR="00CF2186" w:rsidRPr="00C752B4" w:rsidRDefault="00CF2186" w:rsidP="00CF2186">
            <w:pPr>
              <w:numPr>
                <w:ilvl w:val="0"/>
                <w:numId w:val="4"/>
              </w:numPr>
              <w:tabs>
                <w:tab w:val="left" w:pos="187"/>
              </w:tabs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handrails/grab bars</w:t>
            </w:r>
            <w:r w:rsidR="004568D0" w:rsidRPr="00C752B4">
              <w:rPr>
                <w:sz w:val="23"/>
                <w:szCs w:val="23"/>
              </w:rPr>
              <w:t>,</w:t>
            </w:r>
          </w:p>
          <w:p w:rsidR="00CF2186" w:rsidRPr="00C752B4" w:rsidRDefault="00CF2186" w:rsidP="00CF2186">
            <w:pPr>
              <w:numPr>
                <w:ilvl w:val="0"/>
                <w:numId w:val="4"/>
              </w:numPr>
              <w:tabs>
                <w:tab w:val="left" w:pos="187"/>
              </w:tabs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smoke, fire, and carbon monoxide detectors</w:t>
            </w:r>
            <w:r w:rsidR="004568D0" w:rsidRPr="00C752B4">
              <w:rPr>
                <w:sz w:val="23"/>
                <w:szCs w:val="23"/>
              </w:rPr>
              <w:t>,</w:t>
            </w:r>
          </w:p>
          <w:p w:rsidR="00CF2186" w:rsidRPr="00C752B4" w:rsidRDefault="00CF2186" w:rsidP="00CF2186">
            <w:pPr>
              <w:numPr>
                <w:ilvl w:val="0"/>
                <w:numId w:val="4"/>
              </w:numPr>
              <w:tabs>
                <w:tab w:val="left" w:pos="187"/>
              </w:tabs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security items</w:t>
            </w:r>
            <w:r w:rsidR="004568D0" w:rsidRPr="00C752B4">
              <w:rPr>
                <w:sz w:val="23"/>
                <w:szCs w:val="23"/>
              </w:rPr>
              <w:t>,</w:t>
            </w:r>
          </w:p>
          <w:p w:rsidR="00CF2186" w:rsidRPr="00C752B4" w:rsidRDefault="00CF2186" w:rsidP="00CF2186">
            <w:pPr>
              <w:numPr>
                <w:ilvl w:val="0"/>
                <w:numId w:val="4"/>
              </w:numPr>
              <w:tabs>
                <w:tab w:val="left" w:pos="187"/>
              </w:tabs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room additions</w:t>
            </w:r>
            <w:r w:rsidR="004568D0" w:rsidRPr="00C752B4">
              <w:rPr>
                <w:sz w:val="23"/>
                <w:szCs w:val="23"/>
              </w:rPr>
              <w:t>,</w:t>
            </w:r>
          </w:p>
          <w:p w:rsidR="00CF2186" w:rsidRPr="00C752B4" w:rsidRDefault="00CF2186" w:rsidP="00CF2186">
            <w:pPr>
              <w:numPr>
                <w:ilvl w:val="0"/>
                <w:numId w:val="4"/>
              </w:numPr>
              <w:tabs>
                <w:tab w:val="left" w:pos="187"/>
              </w:tabs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covered porches</w:t>
            </w:r>
            <w:r w:rsidR="004568D0" w:rsidRPr="00C752B4">
              <w:rPr>
                <w:sz w:val="23"/>
                <w:szCs w:val="23"/>
              </w:rPr>
              <w:t>,</w:t>
            </w:r>
          </w:p>
          <w:p w:rsidR="00CF2186" w:rsidRPr="00C752B4" w:rsidRDefault="00CF2186" w:rsidP="00CF2186">
            <w:pPr>
              <w:numPr>
                <w:ilvl w:val="0"/>
                <w:numId w:val="4"/>
              </w:numPr>
              <w:tabs>
                <w:tab w:val="left" w:pos="187"/>
              </w:tabs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hard surface walkways</w:t>
            </w:r>
            <w:r w:rsidR="004568D0" w:rsidRPr="00C752B4">
              <w:rPr>
                <w:sz w:val="23"/>
                <w:szCs w:val="23"/>
              </w:rPr>
              <w:t>,</w:t>
            </w:r>
          </w:p>
          <w:p w:rsidR="00CF2186" w:rsidRPr="00C752B4" w:rsidRDefault="00CF2186" w:rsidP="00CF2186">
            <w:pPr>
              <w:numPr>
                <w:ilvl w:val="0"/>
                <w:numId w:val="4"/>
              </w:numPr>
              <w:tabs>
                <w:tab w:val="left" w:pos="187"/>
              </w:tabs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fencing</w:t>
            </w:r>
            <w:r w:rsidR="004568D0" w:rsidRPr="00C752B4">
              <w:rPr>
                <w:sz w:val="23"/>
                <w:szCs w:val="23"/>
              </w:rPr>
              <w:t>,</w:t>
            </w:r>
          </w:p>
          <w:p w:rsidR="00CF2186" w:rsidRPr="00C752B4" w:rsidRDefault="00CF2186" w:rsidP="00CF2186">
            <w:pPr>
              <w:numPr>
                <w:ilvl w:val="0"/>
                <w:numId w:val="4"/>
              </w:numPr>
              <w:tabs>
                <w:tab w:val="left" w:pos="187"/>
              </w:tabs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electrical service</w:t>
            </w:r>
            <w:r w:rsidR="004568D0" w:rsidRPr="00C752B4">
              <w:rPr>
                <w:sz w:val="23"/>
                <w:szCs w:val="23"/>
              </w:rPr>
              <w:t>,</w:t>
            </w:r>
          </w:p>
          <w:p w:rsidR="00CF2186" w:rsidRPr="00C752B4" w:rsidRDefault="00CF2186" w:rsidP="00CF2186">
            <w:pPr>
              <w:numPr>
                <w:ilvl w:val="0"/>
                <w:numId w:val="4"/>
              </w:numPr>
              <w:tabs>
                <w:tab w:val="left" w:pos="187"/>
              </w:tabs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swimming pools</w:t>
            </w:r>
            <w:r w:rsidR="004568D0" w:rsidRPr="00C752B4">
              <w:rPr>
                <w:sz w:val="23"/>
                <w:szCs w:val="23"/>
              </w:rPr>
              <w:t>,</w:t>
            </w:r>
          </w:p>
          <w:p w:rsidR="00CF2186" w:rsidRPr="00C752B4" w:rsidRDefault="00CF2186" w:rsidP="00CF2186">
            <w:pPr>
              <w:numPr>
                <w:ilvl w:val="0"/>
                <w:numId w:val="4"/>
              </w:numPr>
              <w:tabs>
                <w:tab w:val="left" w:pos="187"/>
              </w:tabs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safety defect corrections</w:t>
            </w:r>
            <w:r w:rsidR="004568D0" w:rsidRPr="00C752B4">
              <w:rPr>
                <w:sz w:val="23"/>
                <w:szCs w:val="23"/>
              </w:rPr>
              <w:t>, and</w:t>
            </w:r>
          </w:p>
          <w:p w:rsidR="00CF2186" w:rsidRPr="00C752B4" w:rsidRDefault="00CF2186" w:rsidP="00CF2186">
            <w:pPr>
              <w:numPr>
                <w:ilvl w:val="0"/>
                <w:numId w:val="4"/>
              </w:numPr>
              <w:tabs>
                <w:tab w:val="left" w:pos="187"/>
              </w:tabs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equipment related to accommodating a service dog assigned to the Veteran.</w:t>
            </w:r>
          </w:p>
        </w:tc>
      </w:tr>
    </w:tbl>
    <w:p w:rsidR="00CF2186" w:rsidRPr="00C752B4" w:rsidRDefault="00CF2186" w:rsidP="00CF2186">
      <w:pPr>
        <w:pStyle w:val="BlockLine"/>
        <w:rPr>
          <w:sz w:val="23"/>
          <w:szCs w:val="23"/>
        </w:rPr>
      </w:pPr>
      <w:r w:rsidRPr="00C752B4">
        <w:rPr>
          <w:sz w:val="23"/>
          <w:szCs w:val="23"/>
        </w:rP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F2186" w:rsidRPr="00C752B4" w:rsidTr="00717114">
        <w:trPr>
          <w:cantSplit/>
        </w:trPr>
        <w:tc>
          <w:tcPr>
            <w:tcW w:w="1728" w:type="dxa"/>
          </w:tcPr>
          <w:p w:rsidR="00CF2186" w:rsidRPr="00C752B4" w:rsidRDefault="004568D0" w:rsidP="00717114">
            <w:pPr>
              <w:pStyle w:val="Heading5"/>
              <w:numPr>
                <w:ilvl w:val="12"/>
                <w:numId w:val="0"/>
              </w:numPr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b. Special L</w:t>
            </w:r>
            <w:r w:rsidR="00CF2186" w:rsidRPr="00C752B4">
              <w:rPr>
                <w:sz w:val="23"/>
                <w:szCs w:val="23"/>
              </w:rPr>
              <w:t>ighting</w:t>
            </w:r>
          </w:p>
        </w:tc>
        <w:tc>
          <w:tcPr>
            <w:tcW w:w="7740" w:type="dxa"/>
          </w:tcPr>
          <w:p w:rsidR="00CF2186" w:rsidRPr="00C752B4" w:rsidRDefault="00CF2186" w:rsidP="00717114">
            <w:pPr>
              <w:numPr>
                <w:ilvl w:val="12"/>
                <w:numId w:val="0"/>
              </w:numPr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RAs for lighting include:</w:t>
            </w:r>
          </w:p>
          <w:p w:rsidR="00CF2186" w:rsidRPr="00C752B4" w:rsidRDefault="00CF2186" w:rsidP="00717114">
            <w:pPr>
              <w:numPr>
                <w:ilvl w:val="12"/>
                <w:numId w:val="0"/>
              </w:numPr>
              <w:rPr>
                <w:sz w:val="23"/>
                <w:szCs w:val="23"/>
              </w:rPr>
            </w:pPr>
          </w:p>
          <w:p w:rsidR="00CF2186" w:rsidRPr="00C752B4" w:rsidRDefault="00CF2186" w:rsidP="00CF2186">
            <w:pPr>
              <w:numPr>
                <w:ilvl w:val="0"/>
                <w:numId w:val="5"/>
              </w:numPr>
              <w:tabs>
                <w:tab w:val="left" w:pos="187"/>
              </w:tabs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florescent,</w:t>
            </w:r>
          </w:p>
          <w:p w:rsidR="00CF2186" w:rsidRPr="00C752B4" w:rsidRDefault="00CF2186" w:rsidP="00CF2186">
            <w:pPr>
              <w:numPr>
                <w:ilvl w:val="0"/>
                <w:numId w:val="5"/>
              </w:numPr>
              <w:tabs>
                <w:tab w:val="left" w:pos="187"/>
              </w:tabs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high intensity,</w:t>
            </w:r>
          </w:p>
          <w:p w:rsidR="00CF2186" w:rsidRPr="00C752B4" w:rsidRDefault="00A654A6" w:rsidP="00CF2186">
            <w:pPr>
              <w:numPr>
                <w:ilvl w:val="0"/>
                <w:numId w:val="5"/>
              </w:numPr>
              <w:tabs>
                <w:tab w:val="left" w:pos="187"/>
              </w:tabs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light-emitting diode</w:t>
            </w:r>
            <w:r w:rsidR="00CF2186" w:rsidRPr="00C752B4">
              <w:rPr>
                <w:sz w:val="23"/>
                <w:szCs w:val="23"/>
              </w:rPr>
              <w:t>,</w:t>
            </w:r>
          </w:p>
          <w:p w:rsidR="00CF2186" w:rsidRPr="00C752B4" w:rsidRDefault="00CF2186" w:rsidP="00CF2186">
            <w:pPr>
              <w:numPr>
                <w:ilvl w:val="0"/>
                <w:numId w:val="5"/>
              </w:numPr>
              <w:tabs>
                <w:tab w:val="left" w:pos="187"/>
              </w:tabs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lighted outlets and switches,</w:t>
            </w:r>
          </w:p>
          <w:p w:rsidR="00CF2186" w:rsidRPr="00C752B4" w:rsidRDefault="004568D0" w:rsidP="00CF2186">
            <w:pPr>
              <w:numPr>
                <w:ilvl w:val="0"/>
                <w:numId w:val="5"/>
              </w:numPr>
              <w:tabs>
                <w:tab w:val="left" w:pos="187"/>
              </w:tabs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open, or</w:t>
            </w:r>
          </w:p>
          <w:p w:rsidR="00CF2186" w:rsidRPr="00C752B4" w:rsidRDefault="00CF2186" w:rsidP="00CF2186">
            <w:pPr>
              <w:numPr>
                <w:ilvl w:val="0"/>
                <w:numId w:val="5"/>
              </w:numPr>
              <w:tabs>
                <w:tab w:val="left" w:pos="187"/>
              </w:tabs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indirect.</w:t>
            </w:r>
          </w:p>
        </w:tc>
      </w:tr>
    </w:tbl>
    <w:p w:rsidR="00C752B4" w:rsidRPr="00C752B4" w:rsidRDefault="00C752B4" w:rsidP="00C752B4">
      <w:pPr>
        <w:pStyle w:val="BlockLine"/>
        <w:numPr>
          <w:ilvl w:val="12"/>
          <w:numId w:val="0"/>
        </w:numPr>
        <w:ind w:left="1700"/>
        <w:jc w:val="right"/>
        <w:rPr>
          <w:i/>
          <w:sz w:val="23"/>
          <w:szCs w:val="23"/>
        </w:rPr>
      </w:pPr>
      <w:r w:rsidRPr="00C752B4">
        <w:rPr>
          <w:i/>
          <w:sz w:val="23"/>
          <w:szCs w:val="23"/>
        </w:rPr>
        <w:t>Continued on next page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F2186" w:rsidRPr="00C752B4" w:rsidTr="00C752B4">
        <w:trPr>
          <w:cantSplit/>
          <w:trHeight w:val="2205"/>
        </w:trPr>
        <w:tc>
          <w:tcPr>
            <w:tcW w:w="1728" w:type="dxa"/>
          </w:tcPr>
          <w:p w:rsidR="00CF2186" w:rsidRPr="00C752B4" w:rsidRDefault="00CF2186" w:rsidP="00717114">
            <w:pPr>
              <w:pStyle w:val="Heading5"/>
              <w:numPr>
                <w:ilvl w:val="12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7740" w:type="dxa"/>
          </w:tcPr>
          <w:p w:rsidR="00CF2186" w:rsidRPr="00C752B4" w:rsidRDefault="00CF2186" w:rsidP="00717114">
            <w:pPr>
              <w:pStyle w:val="BlockText"/>
              <w:rPr>
                <w:sz w:val="23"/>
                <w:szCs w:val="23"/>
              </w:rPr>
            </w:pPr>
          </w:p>
        </w:tc>
      </w:tr>
    </w:tbl>
    <w:p w:rsidR="004568D0" w:rsidRDefault="004568D0" w:rsidP="004568D0"/>
    <w:p w:rsidR="004568D0" w:rsidRPr="00430654" w:rsidRDefault="004568D0" w:rsidP="004568D0">
      <w:pPr>
        <w:pStyle w:val="Heading3"/>
        <w:keepNext/>
        <w:keepLines/>
        <w:spacing w:before="200" w:after="0"/>
        <w:ind w:left="810" w:hanging="810"/>
        <w:jc w:val="left"/>
        <w:rPr>
          <w:rFonts w:cs="Arial"/>
          <w:szCs w:val="32"/>
        </w:rPr>
      </w:pPr>
      <w:r>
        <w:lastRenderedPageBreak/>
        <w:t xml:space="preserve">    2.  </w:t>
      </w:r>
      <w:r w:rsidRPr="00430654">
        <w:rPr>
          <w:rFonts w:cs="Arial"/>
          <w:szCs w:val="32"/>
        </w:rPr>
        <w:t>R</w:t>
      </w:r>
      <w:r>
        <w:rPr>
          <w:rFonts w:cs="Arial"/>
          <w:szCs w:val="32"/>
        </w:rPr>
        <w:t>ecommended Adaptations</w:t>
      </w:r>
      <w:r w:rsidRPr="00430654">
        <w:rPr>
          <w:rFonts w:cs="Arial"/>
          <w:szCs w:val="32"/>
        </w:rPr>
        <w:t xml:space="preserve"> </w:t>
      </w:r>
      <w:r>
        <w:rPr>
          <w:rFonts w:cs="Arial"/>
          <w:szCs w:val="32"/>
        </w:rPr>
        <w:t>for Blindness in Both Eyes with a 20/200 Visual Acuity or Less</w:t>
      </w:r>
      <w:r w:rsidR="00FB24DC">
        <w:rPr>
          <w:rFonts w:cs="Arial"/>
          <w:szCs w:val="32"/>
        </w:rPr>
        <w:t>, continued</w:t>
      </w:r>
    </w:p>
    <w:p w:rsidR="004568D0" w:rsidRPr="00C752B4" w:rsidRDefault="00C752B4" w:rsidP="004568D0">
      <w:pPr>
        <w:pStyle w:val="BlockLine"/>
        <w:rPr>
          <w:sz w:val="22"/>
          <w:szCs w:val="22"/>
        </w:rPr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752B4" w:rsidRPr="00C752B4" w:rsidTr="00717114">
        <w:trPr>
          <w:cantSplit/>
        </w:trPr>
        <w:tc>
          <w:tcPr>
            <w:tcW w:w="1728" w:type="dxa"/>
          </w:tcPr>
          <w:p w:rsidR="00C752B4" w:rsidRPr="00C752B4" w:rsidRDefault="00C752B4" w:rsidP="00717114">
            <w:pPr>
              <w:pStyle w:val="Heading5"/>
              <w:numPr>
                <w:ilvl w:val="12"/>
                <w:numId w:val="0"/>
              </w:numPr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c. Sliding Doors</w:t>
            </w:r>
          </w:p>
        </w:tc>
        <w:tc>
          <w:tcPr>
            <w:tcW w:w="7740" w:type="dxa"/>
          </w:tcPr>
          <w:p w:rsidR="00C752B4" w:rsidRPr="00C752B4" w:rsidRDefault="00C752B4" w:rsidP="00C752B4">
            <w:pPr>
              <w:numPr>
                <w:ilvl w:val="12"/>
                <w:numId w:val="0"/>
              </w:numPr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RAs for doors include:</w:t>
            </w:r>
          </w:p>
          <w:p w:rsidR="00C752B4" w:rsidRPr="00C752B4" w:rsidRDefault="00C752B4" w:rsidP="00C752B4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752B4" w:rsidRPr="00C752B4" w:rsidRDefault="00C752B4" w:rsidP="00C752B4">
            <w:pPr>
              <w:numPr>
                <w:ilvl w:val="0"/>
                <w:numId w:val="6"/>
              </w:numPr>
              <w:tabs>
                <w:tab w:val="left" w:pos="187"/>
              </w:tabs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sliding doors,</w:t>
            </w:r>
          </w:p>
          <w:p w:rsidR="00C752B4" w:rsidRPr="00C752B4" w:rsidRDefault="00C752B4" w:rsidP="00C752B4">
            <w:pPr>
              <w:numPr>
                <w:ilvl w:val="0"/>
                <w:numId w:val="6"/>
              </w:numPr>
              <w:tabs>
                <w:tab w:val="left" w:pos="187"/>
              </w:tabs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pocket doors,</w:t>
            </w:r>
          </w:p>
          <w:p w:rsidR="00C752B4" w:rsidRPr="00C752B4" w:rsidRDefault="00C752B4" w:rsidP="00C752B4">
            <w:pPr>
              <w:numPr>
                <w:ilvl w:val="0"/>
                <w:numId w:val="6"/>
              </w:numPr>
              <w:tabs>
                <w:tab w:val="left" w:pos="187"/>
              </w:tabs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keyless entry, or</w:t>
            </w:r>
          </w:p>
          <w:p w:rsidR="00C752B4" w:rsidRPr="00C752B4" w:rsidRDefault="00C752B4" w:rsidP="00C752B4">
            <w:pPr>
              <w:numPr>
                <w:ilvl w:val="0"/>
                <w:numId w:val="6"/>
              </w:numPr>
              <w:tabs>
                <w:tab w:val="left" w:pos="187"/>
              </w:tabs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sliding kitchen and bathroom cabinet doors.</w:t>
            </w:r>
          </w:p>
          <w:p w:rsidR="00C752B4" w:rsidRPr="00C752B4" w:rsidRDefault="00C752B4" w:rsidP="00C752B4">
            <w:pPr>
              <w:numPr>
                <w:ilvl w:val="12"/>
                <w:numId w:val="0"/>
              </w:numPr>
              <w:rPr>
                <w:sz w:val="23"/>
                <w:szCs w:val="23"/>
              </w:rPr>
            </w:pPr>
          </w:p>
          <w:p w:rsidR="00C752B4" w:rsidRPr="00C752B4" w:rsidRDefault="00C752B4" w:rsidP="00C752B4">
            <w:pPr>
              <w:pStyle w:val="Block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C752B4">
              <w:rPr>
                <w:sz w:val="23"/>
                <w:szCs w:val="23"/>
              </w:rPr>
              <w:t>If it is not possible to adapt existing cabinets with sliding doors, new cabinets with sliding doors are acceptable.</w:t>
            </w:r>
          </w:p>
        </w:tc>
      </w:tr>
      <w:tr w:rsidR="00C752B4" w:rsidRPr="00C752B4" w:rsidTr="00717114">
        <w:trPr>
          <w:cantSplit/>
        </w:trPr>
        <w:tc>
          <w:tcPr>
            <w:tcW w:w="1728" w:type="dxa"/>
          </w:tcPr>
          <w:p w:rsidR="00C752B4" w:rsidRPr="00C752B4" w:rsidRDefault="00C752B4" w:rsidP="00717114">
            <w:pPr>
              <w:pStyle w:val="Heading5"/>
              <w:numPr>
                <w:ilvl w:val="12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7740" w:type="dxa"/>
          </w:tcPr>
          <w:p w:rsidR="00C752B4" w:rsidRPr="00C752B4" w:rsidRDefault="00C752B4" w:rsidP="00C752B4">
            <w:pPr>
              <w:pStyle w:val="BlockLine"/>
              <w:ind w:left="0"/>
              <w:rPr>
                <w:sz w:val="22"/>
                <w:szCs w:val="22"/>
              </w:rPr>
            </w:pPr>
          </w:p>
        </w:tc>
      </w:tr>
      <w:tr w:rsidR="00CF2186" w:rsidRPr="00C752B4" w:rsidTr="00717114">
        <w:trPr>
          <w:cantSplit/>
        </w:trPr>
        <w:tc>
          <w:tcPr>
            <w:tcW w:w="1728" w:type="dxa"/>
          </w:tcPr>
          <w:p w:rsidR="00CF2186" w:rsidRPr="00C752B4" w:rsidRDefault="00FB24DC" w:rsidP="00717114">
            <w:pPr>
              <w:pStyle w:val="Heading5"/>
              <w:numPr>
                <w:ilvl w:val="12"/>
                <w:numId w:val="0"/>
              </w:numPr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d. Handrails and Grab B</w:t>
            </w:r>
            <w:r w:rsidR="00CF2186" w:rsidRPr="00C752B4">
              <w:rPr>
                <w:sz w:val="23"/>
                <w:szCs w:val="23"/>
              </w:rPr>
              <w:t>ars</w:t>
            </w:r>
          </w:p>
        </w:tc>
        <w:tc>
          <w:tcPr>
            <w:tcW w:w="7740" w:type="dxa"/>
          </w:tcPr>
          <w:p w:rsidR="00CF2186" w:rsidRPr="00C752B4" w:rsidRDefault="00CF2186" w:rsidP="00717114">
            <w:pPr>
              <w:pStyle w:val="BlockText"/>
              <w:numPr>
                <w:ilvl w:val="12"/>
                <w:numId w:val="0"/>
              </w:numPr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RAs include the installation of handrails or grab bars for stability and safety in any area that presents an unsafe condition to the Veteran.  Typical locations include the:</w:t>
            </w:r>
          </w:p>
          <w:p w:rsidR="00CF2186" w:rsidRPr="00C752B4" w:rsidRDefault="00CF2186" w:rsidP="00717114">
            <w:pPr>
              <w:pStyle w:val="Block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F2186" w:rsidRPr="00C752B4" w:rsidRDefault="00CF2186" w:rsidP="00CF2186">
            <w:pPr>
              <w:pStyle w:val="BulletText1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interior walls</w:t>
            </w:r>
            <w:r w:rsidR="00FB24DC" w:rsidRPr="00C752B4">
              <w:rPr>
                <w:sz w:val="23"/>
                <w:szCs w:val="23"/>
              </w:rPr>
              <w:t>,</w:t>
            </w:r>
          </w:p>
          <w:p w:rsidR="00CF2186" w:rsidRPr="00C752B4" w:rsidRDefault="00CF2186" w:rsidP="00CF2186">
            <w:pPr>
              <w:pStyle w:val="BulletText1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walkways/sidewalks</w:t>
            </w:r>
            <w:r w:rsidR="00FB24DC" w:rsidRPr="00C752B4">
              <w:rPr>
                <w:sz w:val="23"/>
                <w:szCs w:val="23"/>
              </w:rPr>
              <w:t>,</w:t>
            </w:r>
          </w:p>
          <w:p w:rsidR="00CF2186" w:rsidRPr="00C752B4" w:rsidRDefault="00CF2186" w:rsidP="00CF2186">
            <w:pPr>
              <w:pStyle w:val="BulletText1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decks/patios</w:t>
            </w:r>
            <w:r w:rsidR="00FB24DC" w:rsidRPr="00C752B4">
              <w:rPr>
                <w:sz w:val="23"/>
                <w:szCs w:val="23"/>
              </w:rPr>
              <w:t>,</w:t>
            </w:r>
          </w:p>
          <w:p w:rsidR="00CF2186" w:rsidRPr="00C752B4" w:rsidRDefault="00CF2186" w:rsidP="00CF2186">
            <w:pPr>
              <w:pStyle w:val="BulletText1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steps</w:t>
            </w:r>
            <w:r w:rsidR="00FB24DC" w:rsidRPr="00C752B4">
              <w:rPr>
                <w:sz w:val="23"/>
                <w:szCs w:val="23"/>
              </w:rPr>
              <w:t>,</w:t>
            </w:r>
          </w:p>
          <w:p w:rsidR="00CF2186" w:rsidRPr="00C752B4" w:rsidRDefault="00CF2186" w:rsidP="00CF2186">
            <w:pPr>
              <w:pStyle w:val="BulletText1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toilets</w:t>
            </w:r>
            <w:r w:rsidR="00FB24DC" w:rsidRPr="00C752B4">
              <w:rPr>
                <w:sz w:val="23"/>
                <w:szCs w:val="23"/>
              </w:rPr>
              <w:t>,</w:t>
            </w:r>
          </w:p>
          <w:p w:rsidR="00CF2186" w:rsidRPr="00C752B4" w:rsidRDefault="00FB24DC" w:rsidP="00CF2186">
            <w:pPr>
              <w:pStyle w:val="BulletText1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tubs, and</w:t>
            </w:r>
          </w:p>
          <w:p w:rsidR="00CF2186" w:rsidRPr="00C752B4" w:rsidRDefault="00CF2186" w:rsidP="00CF2186">
            <w:pPr>
              <w:pStyle w:val="BulletText1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showers</w:t>
            </w:r>
            <w:r w:rsidR="00FB24DC" w:rsidRPr="00C752B4">
              <w:rPr>
                <w:sz w:val="23"/>
                <w:szCs w:val="23"/>
              </w:rPr>
              <w:t>.</w:t>
            </w:r>
          </w:p>
        </w:tc>
      </w:tr>
    </w:tbl>
    <w:p w:rsidR="00CF2186" w:rsidRPr="00C752B4" w:rsidRDefault="00CF2186" w:rsidP="00CF2186">
      <w:pPr>
        <w:pStyle w:val="BlockLine"/>
        <w:numPr>
          <w:ilvl w:val="12"/>
          <w:numId w:val="0"/>
        </w:numPr>
        <w:ind w:left="1700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F2186" w:rsidRPr="00C752B4" w:rsidTr="00717114">
        <w:trPr>
          <w:cantSplit/>
        </w:trPr>
        <w:tc>
          <w:tcPr>
            <w:tcW w:w="1728" w:type="dxa"/>
          </w:tcPr>
          <w:p w:rsidR="00CF2186" w:rsidRPr="00C752B4" w:rsidRDefault="00FB24DC" w:rsidP="00717114">
            <w:pPr>
              <w:pStyle w:val="Heading5"/>
              <w:numPr>
                <w:ilvl w:val="12"/>
                <w:numId w:val="0"/>
              </w:numPr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e. Detection S</w:t>
            </w:r>
            <w:r w:rsidR="00CF2186" w:rsidRPr="00C752B4">
              <w:rPr>
                <w:sz w:val="23"/>
                <w:szCs w:val="23"/>
              </w:rPr>
              <w:t>ystems</w:t>
            </w:r>
          </w:p>
        </w:tc>
        <w:tc>
          <w:tcPr>
            <w:tcW w:w="7740" w:type="dxa"/>
          </w:tcPr>
          <w:p w:rsidR="00CF2186" w:rsidRPr="00C752B4" w:rsidRDefault="00CF2186" w:rsidP="00717114">
            <w:pPr>
              <w:pStyle w:val="BlockText"/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Smoke detectors, fire detection systems, and carbon monoxide detectors, preferably with battery back-up, are RAs for adapted housing units.</w:t>
            </w:r>
          </w:p>
        </w:tc>
      </w:tr>
    </w:tbl>
    <w:p w:rsidR="00CF2186" w:rsidRPr="00C752B4" w:rsidRDefault="00CF2186" w:rsidP="00CF2186">
      <w:pPr>
        <w:pStyle w:val="BlockLine"/>
        <w:numPr>
          <w:ilvl w:val="12"/>
          <w:numId w:val="0"/>
        </w:numPr>
        <w:ind w:left="1700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F2186" w:rsidRPr="00C752B4" w:rsidTr="00717114">
        <w:trPr>
          <w:cantSplit/>
        </w:trPr>
        <w:tc>
          <w:tcPr>
            <w:tcW w:w="1728" w:type="dxa"/>
          </w:tcPr>
          <w:p w:rsidR="00CF2186" w:rsidRPr="00C752B4" w:rsidRDefault="00FB24DC" w:rsidP="00717114">
            <w:pPr>
              <w:pStyle w:val="Heading5"/>
              <w:numPr>
                <w:ilvl w:val="12"/>
                <w:numId w:val="0"/>
              </w:numPr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f. Security I</w:t>
            </w:r>
            <w:r w:rsidR="00CF2186" w:rsidRPr="00C752B4">
              <w:rPr>
                <w:sz w:val="23"/>
                <w:szCs w:val="23"/>
              </w:rPr>
              <w:t>tems</w:t>
            </w:r>
          </w:p>
        </w:tc>
        <w:tc>
          <w:tcPr>
            <w:tcW w:w="7740" w:type="dxa"/>
          </w:tcPr>
          <w:p w:rsidR="00CF2186" w:rsidRPr="00C752B4" w:rsidRDefault="00CF2186" w:rsidP="00717114">
            <w:pPr>
              <w:pStyle w:val="BlockText"/>
              <w:numPr>
                <w:ilvl w:val="12"/>
                <w:numId w:val="0"/>
              </w:numPr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The following security items are recommended:</w:t>
            </w:r>
          </w:p>
          <w:p w:rsidR="00CF2186" w:rsidRPr="00C752B4" w:rsidRDefault="00CF2186" w:rsidP="00717114">
            <w:pPr>
              <w:pStyle w:val="Block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F2186" w:rsidRPr="00C752B4" w:rsidRDefault="00CF2186" w:rsidP="00CF2186">
            <w:pPr>
              <w:pStyle w:val="BulletText1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security systems</w:t>
            </w:r>
            <w:r w:rsidR="00FB24DC" w:rsidRPr="00C752B4">
              <w:rPr>
                <w:sz w:val="23"/>
                <w:szCs w:val="23"/>
              </w:rPr>
              <w:t>,</w:t>
            </w:r>
          </w:p>
          <w:p w:rsidR="00CF2186" w:rsidRPr="00C752B4" w:rsidRDefault="00FB24DC" w:rsidP="00CF2186">
            <w:pPr>
              <w:pStyle w:val="BulletText1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 xml:space="preserve">the replacement </w:t>
            </w:r>
            <w:r w:rsidR="00CF2186" w:rsidRPr="00C752B4">
              <w:rPr>
                <w:sz w:val="23"/>
                <w:szCs w:val="23"/>
              </w:rPr>
              <w:t>of exterior doors with solid core doors</w:t>
            </w:r>
            <w:r w:rsidRPr="00C752B4">
              <w:rPr>
                <w:sz w:val="23"/>
                <w:szCs w:val="23"/>
              </w:rPr>
              <w:t>,</w:t>
            </w:r>
          </w:p>
          <w:p w:rsidR="00CF2186" w:rsidRPr="00C752B4" w:rsidRDefault="00CF2186" w:rsidP="00CF2186">
            <w:pPr>
              <w:pStyle w:val="BulletText1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deadbolt locks</w:t>
            </w:r>
            <w:r w:rsidR="00FB24DC" w:rsidRPr="00C752B4">
              <w:rPr>
                <w:sz w:val="23"/>
                <w:szCs w:val="23"/>
              </w:rPr>
              <w:t>,</w:t>
            </w:r>
          </w:p>
          <w:p w:rsidR="00CF2186" w:rsidRPr="00C752B4" w:rsidRDefault="00CF2186" w:rsidP="00CF2186">
            <w:pPr>
              <w:pStyle w:val="BulletText1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storm shutters</w:t>
            </w:r>
            <w:r w:rsidR="00FB24DC" w:rsidRPr="00C752B4">
              <w:rPr>
                <w:sz w:val="23"/>
                <w:szCs w:val="23"/>
              </w:rPr>
              <w:t>,</w:t>
            </w:r>
          </w:p>
          <w:p w:rsidR="00CF2186" w:rsidRPr="00C752B4" w:rsidRDefault="00CF2186" w:rsidP="00CF2186">
            <w:pPr>
              <w:pStyle w:val="BulletText1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an emergency exit (e.g. a level 5</w:t>
            </w:r>
            <w:r w:rsidR="00A654A6" w:rsidRPr="00C752B4">
              <w:rPr>
                <w:sz w:val="23"/>
                <w:szCs w:val="23"/>
              </w:rPr>
              <w:t>-foot x 5-foot</w:t>
            </w:r>
            <w:r w:rsidRPr="00C752B4">
              <w:rPr>
                <w:sz w:val="23"/>
                <w:szCs w:val="23"/>
              </w:rPr>
              <w:t xml:space="preserve"> platform with a stairway and railings)</w:t>
            </w:r>
            <w:r w:rsidR="00FB24DC" w:rsidRPr="00C752B4">
              <w:rPr>
                <w:sz w:val="23"/>
                <w:szCs w:val="23"/>
              </w:rPr>
              <w:t>, and</w:t>
            </w:r>
          </w:p>
          <w:p w:rsidR="00CF2186" w:rsidRPr="00C752B4" w:rsidRDefault="00CF2186" w:rsidP="00CF2186">
            <w:pPr>
              <w:pStyle w:val="BulletText1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interior, or exterior to interior, intercom system, excluding home audio systems.</w:t>
            </w:r>
            <w:r w:rsidRPr="00C752B4">
              <w:rPr>
                <w:sz w:val="23"/>
                <w:szCs w:val="23"/>
              </w:rPr>
              <w:br/>
            </w:r>
          </w:p>
          <w:p w:rsidR="00CF2186" w:rsidRPr="00C752B4" w:rsidRDefault="00CF2186" w:rsidP="00717114">
            <w:pPr>
              <w:pStyle w:val="BlockText"/>
              <w:rPr>
                <w:b/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If the Veteran chooses an intercom system with a home audio system, the Veteran must pay the difference in cost.</w:t>
            </w:r>
          </w:p>
        </w:tc>
      </w:tr>
    </w:tbl>
    <w:p w:rsidR="00CF2186" w:rsidRDefault="00C752B4" w:rsidP="00C752B4">
      <w:pPr>
        <w:pStyle w:val="BlockLine"/>
        <w:numPr>
          <w:ilvl w:val="12"/>
          <w:numId w:val="0"/>
        </w:numPr>
        <w:ind w:left="1700"/>
        <w:jc w:val="right"/>
        <w:rPr>
          <w:i/>
          <w:sz w:val="23"/>
          <w:szCs w:val="23"/>
        </w:rPr>
      </w:pPr>
      <w:r w:rsidRPr="00C752B4">
        <w:rPr>
          <w:i/>
          <w:sz w:val="23"/>
          <w:szCs w:val="23"/>
        </w:rPr>
        <w:t>Continued on next page</w:t>
      </w:r>
    </w:p>
    <w:p w:rsidR="00C752B4" w:rsidRPr="00430654" w:rsidRDefault="00C752B4" w:rsidP="00C752B4">
      <w:pPr>
        <w:pStyle w:val="Heading3"/>
        <w:keepNext/>
        <w:keepLines/>
        <w:spacing w:before="200" w:after="0"/>
        <w:ind w:left="810" w:hanging="810"/>
        <w:jc w:val="left"/>
        <w:rPr>
          <w:rFonts w:cs="Arial"/>
          <w:szCs w:val="32"/>
        </w:rPr>
      </w:pPr>
      <w:r>
        <w:lastRenderedPageBreak/>
        <w:t xml:space="preserve">    2.  </w:t>
      </w:r>
      <w:r w:rsidRPr="00430654">
        <w:rPr>
          <w:rFonts w:cs="Arial"/>
          <w:szCs w:val="32"/>
        </w:rPr>
        <w:t>R</w:t>
      </w:r>
      <w:r>
        <w:rPr>
          <w:rFonts w:cs="Arial"/>
          <w:szCs w:val="32"/>
        </w:rPr>
        <w:t>ecommended Adaptations</w:t>
      </w:r>
      <w:r w:rsidRPr="00430654">
        <w:rPr>
          <w:rFonts w:cs="Arial"/>
          <w:szCs w:val="32"/>
        </w:rPr>
        <w:t xml:space="preserve"> </w:t>
      </w:r>
      <w:r>
        <w:rPr>
          <w:rFonts w:cs="Arial"/>
          <w:szCs w:val="32"/>
        </w:rPr>
        <w:t>for Blindness in Both Eyes with a 20/200 Visual Acuity or Less, continued</w:t>
      </w:r>
    </w:p>
    <w:p w:rsidR="00C752B4" w:rsidRPr="00C752B4" w:rsidRDefault="00C752B4" w:rsidP="00C752B4">
      <w:pPr>
        <w:pStyle w:val="BlockLine"/>
      </w:pPr>
      <w: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F2186" w:rsidRPr="00C752B4" w:rsidTr="00717114">
        <w:trPr>
          <w:cantSplit/>
        </w:trPr>
        <w:tc>
          <w:tcPr>
            <w:tcW w:w="1728" w:type="dxa"/>
          </w:tcPr>
          <w:p w:rsidR="00CF2186" w:rsidRPr="00C752B4" w:rsidRDefault="00FB24DC" w:rsidP="00717114">
            <w:pPr>
              <w:pStyle w:val="Heading5"/>
              <w:numPr>
                <w:ilvl w:val="12"/>
                <w:numId w:val="0"/>
              </w:numPr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g. Room A</w:t>
            </w:r>
            <w:r w:rsidR="00CF2186" w:rsidRPr="00C752B4">
              <w:rPr>
                <w:sz w:val="23"/>
                <w:szCs w:val="23"/>
              </w:rPr>
              <w:t>dditions</w:t>
            </w:r>
          </w:p>
        </w:tc>
        <w:tc>
          <w:tcPr>
            <w:tcW w:w="7740" w:type="dxa"/>
          </w:tcPr>
          <w:p w:rsidR="00CF2186" w:rsidRPr="00C752B4" w:rsidRDefault="00CF2186" w:rsidP="00717114">
            <w:pPr>
              <w:pStyle w:val="BlockText"/>
              <w:numPr>
                <w:ilvl w:val="12"/>
                <w:numId w:val="0"/>
              </w:numPr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Room additions to an existing home are recommended for the purpose of storing sensory aids and/or exercise equipment.  If necessary, the addition can be climate controlled and equipped with custom shelving.</w:t>
            </w:r>
          </w:p>
        </w:tc>
      </w:tr>
    </w:tbl>
    <w:p w:rsidR="00FB24DC" w:rsidRPr="00C752B4" w:rsidRDefault="00FB24DC" w:rsidP="00FB24DC">
      <w:pPr>
        <w:pStyle w:val="BlockLine"/>
        <w:rPr>
          <w:sz w:val="16"/>
          <w:szCs w:val="16"/>
        </w:rPr>
      </w:pPr>
      <w:r w:rsidRPr="00C752B4">
        <w:rPr>
          <w:sz w:val="23"/>
          <w:szCs w:val="23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F2186" w:rsidRPr="00C752B4" w:rsidTr="00717114">
        <w:trPr>
          <w:cantSplit/>
        </w:trPr>
        <w:tc>
          <w:tcPr>
            <w:tcW w:w="1728" w:type="dxa"/>
          </w:tcPr>
          <w:p w:rsidR="00CF2186" w:rsidRPr="00C752B4" w:rsidRDefault="00FB24DC" w:rsidP="00717114">
            <w:pPr>
              <w:pStyle w:val="Heading5"/>
              <w:numPr>
                <w:ilvl w:val="12"/>
                <w:numId w:val="0"/>
              </w:numPr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h. Covered P</w:t>
            </w:r>
            <w:r w:rsidR="00CF2186" w:rsidRPr="00C752B4">
              <w:rPr>
                <w:sz w:val="23"/>
                <w:szCs w:val="23"/>
              </w:rPr>
              <w:t>orches</w:t>
            </w:r>
          </w:p>
        </w:tc>
        <w:tc>
          <w:tcPr>
            <w:tcW w:w="7740" w:type="dxa"/>
          </w:tcPr>
          <w:p w:rsidR="00CF2186" w:rsidRPr="00C752B4" w:rsidRDefault="00CF2186" w:rsidP="00717114">
            <w:pPr>
              <w:pStyle w:val="BlockText"/>
              <w:numPr>
                <w:ilvl w:val="12"/>
                <w:numId w:val="0"/>
              </w:numPr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The following adaptations regarding porches are recommended:</w:t>
            </w:r>
          </w:p>
          <w:p w:rsidR="00CF2186" w:rsidRPr="00C752B4" w:rsidRDefault="00CF2186" w:rsidP="00717114">
            <w:pPr>
              <w:pStyle w:val="BlockText"/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  <w:p w:rsidR="00CF2186" w:rsidRPr="00C752B4" w:rsidRDefault="00423161" w:rsidP="00CF2186">
            <w:pPr>
              <w:pStyle w:val="BulletText1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</w:t>
            </w:r>
            <w:r w:rsidR="00CF2186" w:rsidRPr="00C752B4">
              <w:rPr>
                <w:sz w:val="23"/>
                <w:szCs w:val="23"/>
              </w:rPr>
              <w:t>wnings o</w:t>
            </w:r>
            <w:r>
              <w:rPr>
                <w:sz w:val="23"/>
                <w:szCs w:val="23"/>
              </w:rPr>
              <w:t>ver the front and/or rear doors</w:t>
            </w:r>
          </w:p>
          <w:p w:rsidR="00CF2186" w:rsidRPr="00C752B4" w:rsidRDefault="00423161" w:rsidP="00CF2186">
            <w:pPr>
              <w:pStyle w:val="BulletText1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</w:t>
            </w:r>
            <w:r w:rsidR="00CF2186" w:rsidRPr="00C752B4">
              <w:rPr>
                <w:sz w:val="23"/>
                <w:szCs w:val="23"/>
              </w:rPr>
              <w:t>overing</w:t>
            </w:r>
            <w:r>
              <w:rPr>
                <w:sz w:val="23"/>
                <w:szCs w:val="23"/>
              </w:rPr>
              <w:t xml:space="preserve"> or enclosing an existing porch</w:t>
            </w:r>
          </w:p>
          <w:p w:rsidR="00CF2186" w:rsidRPr="00C752B4" w:rsidRDefault="00423161" w:rsidP="00CF2186">
            <w:pPr>
              <w:pStyle w:val="BulletText1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Constructing a new covered porch</w:t>
            </w:r>
          </w:p>
        </w:tc>
      </w:tr>
    </w:tbl>
    <w:p w:rsidR="00CF2186" w:rsidRPr="00C752B4" w:rsidRDefault="00CF2186" w:rsidP="00CF2186">
      <w:pPr>
        <w:pStyle w:val="BlockLine"/>
        <w:numPr>
          <w:ilvl w:val="12"/>
          <w:numId w:val="0"/>
        </w:numPr>
        <w:ind w:left="1700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F2186" w:rsidRPr="00C752B4" w:rsidTr="00717114">
        <w:trPr>
          <w:cantSplit/>
        </w:trPr>
        <w:tc>
          <w:tcPr>
            <w:tcW w:w="1728" w:type="dxa"/>
          </w:tcPr>
          <w:p w:rsidR="00CF2186" w:rsidRPr="00C752B4" w:rsidRDefault="00FB24DC" w:rsidP="00717114">
            <w:pPr>
              <w:pStyle w:val="Heading5"/>
              <w:numPr>
                <w:ilvl w:val="12"/>
                <w:numId w:val="0"/>
              </w:numPr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i. Hard Surface W</w:t>
            </w:r>
            <w:r w:rsidR="00CF2186" w:rsidRPr="00C752B4">
              <w:rPr>
                <w:sz w:val="23"/>
                <w:szCs w:val="23"/>
              </w:rPr>
              <w:t>alkways</w:t>
            </w:r>
          </w:p>
        </w:tc>
        <w:tc>
          <w:tcPr>
            <w:tcW w:w="7740" w:type="dxa"/>
          </w:tcPr>
          <w:p w:rsidR="00CF2186" w:rsidRPr="00C752B4" w:rsidRDefault="00CF2186" w:rsidP="00717114">
            <w:pPr>
              <w:pStyle w:val="BlockText"/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New hard surface walkways are recommended and should</w:t>
            </w:r>
            <w:r w:rsidR="00FB24DC" w:rsidRPr="00C752B4">
              <w:rPr>
                <w:sz w:val="23"/>
                <w:szCs w:val="23"/>
              </w:rPr>
              <w:t xml:space="preserve"> be 48 inches</w:t>
            </w:r>
            <w:r w:rsidRPr="00C752B4">
              <w:rPr>
                <w:sz w:val="23"/>
                <w:szCs w:val="23"/>
              </w:rPr>
              <w:t xml:space="preserve"> wide.  Replacing an existing hard surface walkway, unless the existing walkway presents a safety hazard, is considered to be maintenance and is unacceptable.  The installation of new curbs for an existing walkway is acceptable.</w:t>
            </w:r>
          </w:p>
        </w:tc>
      </w:tr>
    </w:tbl>
    <w:p w:rsidR="00CF2186" w:rsidRPr="00C752B4" w:rsidRDefault="00CF2186" w:rsidP="00CF2186">
      <w:pPr>
        <w:pStyle w:val="BlockLine"/>
        <w:numPr>
          <w:ilvl w:val="12"/>
          <w:numId w:val="0"/>
        </w:numPr>
        <w:ind w:left="1700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F2186" w:rsidRPr="00C752B4" w:rsidTr="00717114">
        <w:trPr>
          <w:cantSplit/>
        </w:trPr>
        <w:tc>
          <w:tcPr>
            <w:tcW w:w="1728" w:type="dxa"/>
          </w:tcPr>
          <w:p w:rsidR="00CF2186" w:rsidRPr="00C752B4" w:rsidRDefault="00CF2186" w:rsidP="00717114">
            <w:pPr>
              <w:pStyle w:val="Heading5"/>
              <w:numPr>
                <w:ilvl w:val="12"/>
                <w:numId w:val="0"/>
              </w:numPr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j. Fencing</w:t>
            </w:r>
          </w:p>
        </w:tc>
        <w:tc>
          <w:tcPr>
            <w:tcW w:w="7740" w:type="dxa"/>
          </w:tcPr>
          <w:p w:rsidR="00CF2186" w:rsidRPr="00C752B4" w:rsidRDefault="00CF2186" w:rsidP="00717114">
            <w:pPr>
              <w:pStyle w:val="BlockText"/>
              <w:rPr>
                <w:sz w:val="22"/>
                <w:szCs w:val="22"/>
              </w:rPr>
            </w:pPr>
            <w:r w:rsidRPr="00C752B4">
              <w:rPr>
                <w:sz w:val="23"/>
                <w:szCs w:val="23"/>
              </w:rPr>
              <w:t>The installation of fencing to overcome a hazard or safety concern is recommended (e.g. the installation of a fence at a steep drop or adjacent to a busy street).</w:t>
            </w:r>
          </w:p>
        </w:tc>
      </w:tr>
    </w:tbl>
    <w:p w:rsidR="00CF2186" w:rsidRPr="00C752B4" w:rsidRDefault="00CF2186" w:rsidP="00CF2186">
      <w:pPr>
        <w:pStyle w:val="BlockLine"/>
        <w:numPr>
          <w:ilvl w:val="12"/>
          <w:numId w:val="0"/>
        </w:numPr>
        <w:ind w:left="1700"/>
        <w:rPr>
          <w:sz w:val="23"/>
          <w:szCs w:val="2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F2186" w:rsidRPr="00C752B4" w:rsidTr="00717114">
        <w:trPr>
          <w:cantSplit/>
        </w:trPr>
        <w:tc>
          <w:tcPr>
            <w:tcW w:w="1728" w:type="dxa"/>
          </w:tcPr>
          <w:p w:rsidR="00CF2186" w:rsidRPr="00C752B4" w:rsidRDefault="00FB24DC" w:rsidP="00717114">
            <w:pPr>
              <w:pStyle w:val="Heading5"/>
              <w:numPr>
                <w:ilvl w:val="12"/>
                <w:numId w:val="0"/>
              </w:numPr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k. Additional Electrical S</w:t>
            </w:r>
            <w:r w:rsidR="00CF2186" w:rsidRPr="00C752B4">
              <w:rPr>
                <w:sz w:val="23"/>
                <w:szCs w:val="23"/>
              </w:rPr>
              <w:t>ervice</w:t>
            </w:r>
          </w:p>
        </w:tc>
        <w:tc>
          <w:tcPr>
            <w:tcW w:w="7740" w:type="dxa"/>
          </w:tcPr>
          <w:p w:rsidR="00CF2186" w:rsidRPr="00C752B4" w:rsidRDefault="00CF2186" w:rsidP="00717114">
            <w:pPr>
              <w:pStyle w:val="BlockText"/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Additional electrical switches, outlets, and service capacity to accommodate sensory aids and equipment are recommended if there is a deficiency.</w:t>
            </w:r>
          </w:p>
        </w:tc>
      </w:tr>
    </w:tbl>
    <w:p w:rsidR="00CF2186" w:rsidRPr="00C752B4" w:rsidRDefault="00CF2186" w:rsidP="00CF2186">
      <w:pPr>
        <w:pStyle w:val="BlockLine"/>
        <w:numPr>
          <w:ilvl w:val="12"/>
          <w:numId w:val="0"/>
        </w:numPr>
        <w:ind w:left="1700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F2186" w:rsidRPr="00C752B4" w:rsidTr="00717114">
        <w:trPr>
          <w:cantSplit/>
        </w:trPr>
        <w:tc>
          <w:tcPr>
            <w:tcW w:w="1728" w:type="dxa"/>
          </w:tcPr>
          <w:p w:rsidR="00CF2186" w:rsidRPr="00C752B4" w:rsidRDefault="00FB24DC" w:rsidP="00717114">
            <w:pPr>
              <w:pStyle w:val="Heading5"/>
              <w:numPr>
                <w:ilvl w:val="12"/>
                <w:numId w:val="0"/>
              </w:numPr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l. Swimming P</w:t>
            </w:r>
            <w:r w:rsidR="00CF2186" w:rsidRPr="00C752B4">
              <w:rPr>
                <w:sz w:val="23"/>
                <w:szCs w:val="23"/>
              </w:rPr>
              <w:t>ools</w:t>
            </w:r>
          </w:p>
        </w:tc>
        <w:tc>
          <w:tcPr>
            <w:tcW w:w="7740" w:type="dxa"/>
          </w:tcPr>
          <w:p w:rsidR="00CF2186" w:rsidRPr="00C752B4" w:rsidRDefault="00CF2186" w:rsidP="00717114">
            <w:pPr>
              <w:pStyle w:val="BlockText"/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 xml:space="preserve">Swimming pools that are medically necessary are acceptable.  However, grant funds must not be used for spas, hot tubs, saunas, etc.  </w:t>
            </w:r>
          </w:p>
          <w:p w:rsidR="00CF2186" w:rsidRPr="00C752B4" w:rsidRDefault="00CF2186" w:rsidP="00717114">
            <w:pPr>
              <w:pStyle w:val="BulletText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CF2186" w:rsidRPr="00C752B4" w:rsidRDefault="00CF2186" w:rsidP="00717114">
            <w:pPr>
              <w:pStyle w:val="BlockText"/>
              <w:rPr>
                <w:sz w:val="23"/>
                <w:szCs w:val="23"/>
              </w:rPr>
            </w:pPr>
            <w:r w:rsidRPr="001D4876">
              <w:rPr>
                <w:b/>
                <w:i/>
                <w:sz w:val="23"/>
                <w:szCs w:val="23"/>
              </w:rPr>
              <w:t>Important</w:t>
            </w:r>
            <w:r w:rsidRPr="00C752B4">
              <w:rPr>
                <w:b/>
                <w:i/>
                <w:sz w:val="23"/>
                <w:szCs w:val="23"/>
              </w:rPr>
              <w:t>:</w:t>
            </w:r>
            <w:r w:rsidRPr="00C752B4">
              <w:rPr>
                <w:sz w:val="23"/>
                <w:szCs w:val="23"/>
              </w:rPr>
              <w:t xml:space="preserve">  The installation of spas or variations of swimming pools are acceptable if hydrotherapy is a prescribed treatment for the Veteran, and medically required.</w:t>
            </w:r>
          </w:p>
        </w:tc>
      </w:tr>
    </w:tbl>
    <w:p w:rsidR="00CF2186" w:rsidRPr="00C752B4" w:rsidRDefault="00CF2186" w:rsidP="00CF2186">
      <w:pPr>
        <w:pStyle w:val="BlockLine"/>
        <w:numPr>
          <w:ilvl w:val="12"/>
          <w:numId w:val="0"/>
        </w:numPr>
        <w:ind w:left="1700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F2186" w:rsidRPr="00C752B4" w:rsidTr="00717114">
        <w:trPr>
          <w:cantSplit/>
        </w:trPr>
        <w:tc>
          <w:tcPr>
            <w:tcW w:w="1728" w:type="dxa"/>
          </w:tcPr>
          <w:p w:rsidR="00CF2186" w:rsidRPr="00C752B4" w:rsidRDefault="00FB24DC" w:rsidP="00C752B4">
            <w:pPr>
              <w:pStyle w:val="Heading5"/>
              <w:numPr>
                <w:ilvl w:val="12"/>
                <w:numId w:val="0"/>
              </w:numPr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m. Correction of a Safety D</w:t>
            </w:r>
            <w:r w:rsidR="00CF2186" w:rsidRPr="00C752B4">
              <w:rPr>
                <w:sz w:val="23"/>
                <w:szCs w:val="23"/>
              </w:rPr>
              <w:t>efect</w:t>
            </w:r>
          </w:p>
        </w:tc>
        <w:tc>
          <w:tcPr>
            <w:tcW w:w="7740" w:type="dxa"/>
          </w:tcPr>
          <w:p w:rsidR="00C752B4" w:rsidRPr="00C752B4" w:rsidRDefault="00CF2186" w:rsidP="00C752B4">
            <w:pPr>
              <w:pStyle w:val="BlockText"/>
              <w:rPr>
                <w:sz w:val="22"/>
                <w:szCs w:val="22"/>
              </w:rPr>
            </w:pPr>
            <w:r w:rsidRPr="00C752B4">
              <w:rPr>
                <w:sz w:val="23"/>
                <w:szCs w:val="23"/>
              </w:rPr>
              <w:t>Corrections to safety defects are recommended (e.g. the replacement of a space heater with a gas forced air furnace system or the replacement of a gas range with an electric range).</w:t>
            </w:r>
          </w:p>
        </w:tc>
      </w:tr>
    </w:tbl>
    <w:p w:rsidR="00CF2186" w:rsidRPr="00C752B4" w:rsidRDefault="00CF2186" w:rsidP="00C752B4">
      <w:pPr>
        <w:pStyle w:val="BlockLine"/>
        <w:numPr>
          <w:ilvl w:val="12"/>
          <w:numId w:val="0"/>
        </w:numPr>
        <w:ind w:left="1700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F2186" w:rsidRPr="00C752B4" w:rsidTr="00717114">
        <w:trPr>
          <w:cantSplit/>
        </w:trPr>
        <w:tc>
          <w:tcPr>
            <w:tcW w:w="1728" w:type="dxa"/>
          </w:tcPr>
          <w:p w:rsidR="00CF2186" w:rsidRPr="00C752B4" w:rsidRDefault="00CF2186" w:rsidP="00FB24DC">
            <w:pPr>
              <w:pStyle w:val="Heading5"/>
              <w:numPr>
                <w:ilvl w:val="12"/>
                <w:numId w:val="0"/>
              </w:numPr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 xml:space="preserve">n. Service </w:t>
            </w:r>
            <w:r w:rsidR="00FB24DC" w:rsidRPr="00C752B4">
              <w:rPr>
                <w:sz w:val="23"/>
                <w:szCs w:val="23"/>
              </w:rPr>
              <w:t>D</w:t>
            </w:r>
            <w:r w:rsidRPr="00C752B4">
              <w:rPr>
                <w:sz w:val="23"/>
                <w:szCs w:val="23"/>
              </w:rPr>
              <w:t>og</w:t>
            </w:r>
          </w:p>
        </w:tc>
        <w:tc>
          <w:tcPr>
            <w:tcW w:w="7740" w:type="dxa"/>
          </w:tcPr>
          <w:p w:rsidR="00CF2186" w:rsidRPr="00C752B4" w:rsidRDefault="00CF2186" w:rsidP="00717114">
            <w:pPr>
              <w:pStyle w:val="BlockText"/>
              <w:rPr>
                <w:sz w:val="22"/>
                <w:szCs w:val="22"/>
              </w:rPr>
            </w:pPr>
            <w:r w:rsidRPr="00C752B4">
              <w:rPr>
                <w:sz w:val="23"/>
                <w:szCs w:val="23"/>
              </w:rPr>
              <w:t>RAs related to accommodating a service dog assigned to the Veteran include, but are not limited to, invisible fencing, pet doors, etc.</w:t>
            </w:r>
          </w:p>
        </w:tc>
      </w:tr>
    </w:tbl>
    <w:p w:rsidR="00CF2186" w:rsidRPr="00C752B4" w:rsidRDefault="00CF2186" w:rsidP="00CF2186">
      <w:pPr>
        <w:rPr>
          <w:sz w:val="23"/>
          <w:szCs w:val="23"/>
        </w:rPr>
      </w:pPr>
    </w:p>
    <w:p w:rsidR="00CF2186" w:rsidRPr="00430654" w:rsidRDefault="00CF2186" w:rsidP="00FB24DC">
      <w:pPr>
        <w:pStyle w:val="Heading4"/>
        <w:ind w:left="720" w:hanging="720"/>
        <w:rPr>
          <w:rFonts w:cs="Arial"/>
          <w:szCs w:val="32"/>
        </w:rPr>
      </w:pPr>
      <w:r>
        <w:br w:type="page"/>
      </w:r>
      <w:r w:rsidR="00FB24DC">
        <w:lastRenderedPageBreak/>
        <w:t xml:space="preserve">   3.  </w:t>
      </w:r>
      <w:r>
        <w:rPr>
          <w:rFonts w:cs="Arial"/>
          <w:szCs w:val="32"/>
        </w:rPr>
        <w:t>Recommended Adaptations for Loss, or Loss of Use, of Both Hands</w:t>
      </w:r>
    </w:p>
    <w:p w:rsidR="00CF2186" w:rsidRDefault="00CF2186" w:rsidP="00CF2186">
      <w:pPr>
        <w:pStyle w:val="BlockLine"/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7740"/>
      </w:tblGrid>
      <w:tr w:rsidR="00C752B4" w:rsidRPr="00C752B4" w:rsidTr="00AB0612">
        <w:trPr>
          <w:cantSplit/>
        </w:trPr>
        <w:tc>
          <w:tcPr>
            <w:tcW w:w="1728" w:type="dxa"/>
            <w:hideMark/>
          </w:tcPr>
          <w:p w:rsidR="00C752B4" w:rsidRPr="001D4876" w:rsidRDefault="00C752B4" w:rsidP="00AB0612">
            <w:pPr>
              <w:pStyle w:val="Heading5"/>
              <w:spacing w:line="276" w:lineRule="auto"/>
              <w:rPr>
                <w:sz w:val="23"/>
                <w:szCs w:val="23"/>
              </w:rPr>
            </w:pPr>
            <w:r w:rsidRPr="001D4876">
              <w:rPr>
                <w:sz w:val="23"/>
                <w:szCs w:val="23"/>
              </w:rPr>
              <w:t>Change date</w:t>
            </w:r>
          </w:p>
        </w:tc>
        <w:tc>
          <w:tcPr>
            <w:tcW w:w="7740" w:type="dxa"/>
            <w:hideMark/>
          </w:tcPr>
          <w:p w:rsidR="00A7756A" w:rsidRDefault="00A7756A" w:rsidP="00A7756A">
            <w:pPr>
              <w:pStyle w:val="BlockText"/>
            </w:pPr>
            <w:r>
              <w:t>February 12, 2014, Change 1</w:t>
            </w:r>
          </w:p>
          <w:p w:rsidR="00C752B4" w:rsidRPr="00C752B4" w:rsidRDefault="00C752B4" w:rsidP="00AB0612">
            <w:pPr>
              <w:pStyle w:val="BulletText1"/>
              <w:numPr>
                <w:ilvl w:val="0"/>
                <w:numId w:val="13"/>
              </w:numPr>
              <w:spacing w:line="276" w:lineRule="auto"/>
              <w:ind w:left="187" w:hanging="187"/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This entire section has been updated.</w:t>
            </w:r>
          </w:p>
        </w:tc>
      </w:tr>
    </w:tbl>
    <w:p w:rsidR="00C752B4" w:rsidRPr="00C752B4" w:rsidRDefault="00C752B4" w:rsidP="00C752B4">
      <w:pPr>
        <w:pStyle w:val="BlockLine"/>
        <w:rPr>
          <w:sz w:val="23"/>
          <w:szCs w:val="23"/>
        </w:rPr>
      </w:pPr>
      <w:r w:rsidRPr="00C752B4">
        <w:rPr>
          <w:sz w:val="23"/>
          <w:szCs w:val="23"/>
        </w:rP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F2186" w:rsidTr="00717114">
        <w:trPr>
          <w:cantSplit/>
        </w:trPr>
        <w:tc>
          <w:tcPr>
            <w:tcW w:w="1728" w:type="dxa"/>
          </w:tcPr>
          <w:p w:rsidR="00CF2186" w:rsidRDefault="00FB24DC" w:rsidP="001D4876">
            <w:pPr>
              <w:pStyle w:val="Heading5"/>
            </w:pPr>
            <w:r>
              <w:t xml:space="preserve">a. </w:t>
            </w:r>
            <w:r w:rsidR="001D4876">
              <w:t xml:space="preserve"> RAs</w:t>
            </w:r>
          </w:p>
        </w:tc>
        <w:tc>
          <w:tcPr>
            <w:tcW w:w="7740" w:type="dxa"/>
          </w:tcPr>
          <w:p w:rsidR="00CF2186" w:rsidRDefault="00CF2186" w:rsidP="00717114">
            <w:pPr>
              <w:pStyle w:val="BlockText"/>
              <w:numPr>
                <w:ilvl w:val="12"/>
                <w:numId w:val="0"/>
              </w:numPr>
            </w:pPr>
            <w:r>
              <w:t>The following items are recommended adaptations for loss, or loss of use, of both hands:</w:t>
            </w:r>
          </w:p>
          <w:p w:rsidR="00CF2186" w:rsidRDefault="00CF2186" w:rsidP="00717114">
            <w:pPr>
              <w:pStyle w:val="BlockText"/>
              <w:numPr>
                <w:ilvl w:val="12"/>
                <w:numId w:val="0"/>
              </w:numPr>
            </w:pPr>
          </w:p>
          <w:p w:rsidR="00CF2186" w:rsidRDefault="00CF2186" w:rsidP="00CF2186">
            <w:pPr>
              <w:pStyle w:val="BulletText1"/>
              <w:numPr>
                <w:ilvl w:val="0"/>
                <w:numId w:val="10"/>
              </w:numPr>
            </w:pPr>
            <w:r>
              <w:t>lever-type water faucet fixtures in the kitchen or bathroom</w:t>
            </w:r>
            <w:r w:rsidR="00A654A6">
              <w:t>;</w:t>
            </w:r>
          </w:p>
          <w:p w:rsidR="00CF2186" w:rsidRDefault="00CF2186" w:rsidP="00CF2186">
            <w:pPr>
              <w:pStyle w:val="BulletText1"/>
              <w:numPr>
                <w:ilvl w:val="0"/>
                <w:numId w:val="10"/>
              </w:numPr>
            </w:pPr>
            <w:r>
              <w:t>rubber doorknob covers or lever-type latches/locks for doors</w:t>
            </w:r>
            <w:r w:rsidR="00A654A6">
              <w:t>;</w:t>
            </w:r>
          </w:p>
          <w:p w:rsidR="00CF2186" w:rsidRDefault="00CF2186" w:rsidP="00CF2186">
            <w:pPr>
              <w:pStyle w:val="BulletText1"/>
              <w:numPr>
                <w:ilvl w:val="0"/>
                <w:numId w:val="10"/>
              </w:numPr>
            </w:pPr>
            <w:r>
              <w:t>relocation of cabinets, countertops, and sinks to a convenient height</w:t>
            </w:r>
            <w:r w:rsidR="00A654A6">
              <w:t>;</w:t>
            </w:r>
          </w:p>
          <w:p w:rsidR="00CF2186" w:rsidRDefault="00CF2186" w:rsidP="00CF2186">
            <w:pPr>
              <w:pStyle w:val="BulletText1"/>
              <w:numPr>
                <w:ilvl w:val="0"/>
                <w:numId w:val="10"/>
              </w:numPr>
            </w:pPr>
            <w:r>
              <w:t>toggle or press type light switches</w:t>
            </w:r>
            <w:r w:rsidR="00A654A6">
              <w:t>;</w:t>
            </w:r>
          </w:p>
          <w:p w:rsidR="00CF2186" w:rsidRDefault="00CF2186" w:rsidP="00CF2186">
            <w:pPr>
              <w:pStyle w:val="BulletText1"/>
              <w:numPr>
                <w:ilvl w:val="0"/>
                <w:numId w:val="10"/>
              </w:numPr>
            </w:pPr>
            <w:r>
              <w:t>tap plates to open and close interior doors</w:t>
            </w:r>
            <w:r w:rsidR="00A654A6">
              <w:t>;</w:t>
            </w:r>
          </w:p>
          <w:p w:rsidR="00CF2186" w:rsidRDefault="00CF2186" w:rsidP="00CF2186">
            <w:pPr>
              <w:pStyle w:val="BulletText1"/>
              <w:numPr>
                <w:ilvl w:val="0"/>
                <w:numId w:val="10"/>
              </w:numPr>
            </w:pPr>
            <w:r>
              <w:t>keyless entry systems for exterior doors</w:t>
            </w:r>
            <w:r w:rsidR="00A654A6">
              <w:t>;</w:t>
            </w:r>
          </w:p>
          <w:p w:rsidR="00CF2186" w:rsidRDefault="00CF2186" w:rsidP="00CF2186">
            <w:pPr>
              <w:pStyle w:val="BulletText1"/>
              <w:numPr>
                <w:ilvl w:val="0"/>
                <w:numId w:val="10"/>
              </w:numPr>
            </w:pPr>
            <w:r>
              <w:t>automatic garage door openers</w:t>
            </w:r>
            <w:r w:rsidR="00A654A6">
              <w:t>;</w:t>
            </w:r>
          </w:p>
          <w:p w:rsidR="00CF2186" w:rsidRDefault="00CF2186" w:rsidP="00CF2186">
            <w:pPr>
              <w:pStyle w:val="BulletText1"/>
              <w:numPr>
                <w:ilvl w:val="0"/>
                <w:numId w:val="10"/>
              </w:numPr>
            </w:pPr>
            <w:r>
              <w:t>circuit breaker electrical control panel modifications</w:t>
            </w:r>
            <w:r w:rsidR="00A654A6">
              <w:t>;</w:t>
            </w:r>
          </w:p>
          <w:p w:rsidR="00CF2186" w:rsidRDefault="00CF2186" w:rsidP="00CF2186">
            <w:pPr>
              <w:pStyle w:val="BulletText1"/>
              <w:numPr>
                <w:ilvl w:val="0"/>
                <w:numId w:val="10"/>
              </w:numPr>
            </w:pPr>
            <w:r>
              <w:t>smoke detectors, fire detectors, and carbon monoxide detection systems</w:t>
            </w:r>
            <w:r w:rsidR="00A654A6">
              <w:t>;</w:t>
            </w:r>
          </w:p>
          <w:p w:rsidR="00CF2186" w:rsidRDefault="00CF2186" w:rsidP="00CF2186">
            <w:pPr>
              <w:pStyle w:val="BulletText1"/>
              <w:numPr>
                <w:ilvl w:val="0"/>
                <w:numId w:val="10"/>
              </w:numPr>
            </w:pPr>
            <w:r>
              <w:t>special plumbing fixtures</w:t>
            </w:r>
            <w:r w:rsidR="00A654A6">
              <w:t>;</w:t>
            </w:r>
          </w:p>
          <w:p w:rsidR="00CF2186" w:rsidRPr="00007D74" w:rsidRDefault="00CF2186" w:rsidP="00CF2186">
            <w:pPr>
              <w:pStyle w:val="BulletText1"/>
              <w:numPr>
                <w:ilvl w:val="0"/>
                <w:numId w:val="10"/>
              </w:numPr>
              <w:rPr>
                <w:b/>
                <w:i/>
              </w:rPr>
            </w:pPr>
            <w:r>
              <w:t>replacement of single or double hung windows with crank-type windows</w:t>
            </w:r>
            <w:r w:rsidR="00A654A6">
              <w:t>;</w:t>
            </w:r>
            <w:r w:rsidR="00FB24DC">
              <w:t xml:space="preserve"> and</w:t>
            </w:r>
          </w:p>
          <w:p w:rsidR="00CF2186" w:rsidRPr="006E0B7B" w:rsidRDefault="00CF2186" w:rsidP="00CF2186">
            <w:pPr>
              <w:pStyle w:val="BulletText1"/>
              <w:numPr>
                <w:ilvl w:val="0"/>
                <w:numId w:val="10"/>
              </w:numPr>
              <w:rPr>
                <w:b/>
                <w:i/>
              </w:rPr>
            </w:pPr>
            <w:r>
              <w:t>correction of safety defects</w:t>
            </w:r>
            <w:r w:rsidR="00FB24DC">
              <w:t>.</w:t>
            </w:r>
          </w:p>
        </w:tc>
      </w:tr>
    </w:tbl>
    <w:p w:rsidR="00CF2186" w:rsidRDefault="00CF2186" w:rsidP="00CF2186">
      <w:pPr>
        <w:pStyle w:val="BlockLine"/>
      </w:pPr>
    </w:p>
    <w:p w:rsidR="00CF2186" w:rsidRDefault="00CF2186" w:rsidP="00FE4534">
      <w:pPr>
        <w:pStyle w:val="Heading3"/>
        <w:ind w:left="720" w:hanging="720"/>
        <w:jc w:val="left"/>
      </w:pPr>
      <w:r>
        <w:br w:type="page"/>
      </w:r>
      <w:r w:rsidR="00FE4534">
        <w:lastRenderedPageBreak/>
        <w:t xml:space="preserve">   4.  </w:t>
      </w:r>
      <w:r>
        <w:t>Recommended Adaptations for Burn Injuries and Respiratory</w:t>
      </w:r>
      <w:r w:rsidR="00423161">
        <w:t>-</w:t>
      </w:r>
      <w:r>
        <w:t>Related Injuries</w:t>
      </w:r>
    </w:p>
    <w:p w:rsidR="00CF2186" w:rsidRDefault="00CF2186" w:rsidP="00CF2186">
      <w:pPr>
        <w:pStyle w:val="BlockLine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7740"/>
      </w:tblGrid>
      <w:tr w:rsidR="00423161" w:rsidRPr="00C752B4" w:rsidTr="00AB0612">
        <w:trPr>
          <w:cantSplit/>
        </w:trPr>
        <w:tc>
          <w:tcPr>
            <w:tcW w:w="1728" w:type="dxa"/>
            <w:hideMark/>
          </w:tcPr>
          <w:p w:rsidR="00423161" w:rsidRPr="001D4876" w:rsidRDefault="00423161" w:rsidP="00AB0612">
            <w:pPr>
              <w:pStyle w:val="Heading5"/>
              <w:spacing w:line="276" w:lineRule="auto"/>
              <w:rPr>
                <w:sz w:val="23"/>
                <w:szCs w:val="23"/>
              </w:rPr>
            </w:pPr>
            <w:r w:rsidRPr="001D4876">
              <w:rPr>
                <w:sz w:val="23"/>
                <w:szCs w:val="23"/>
              </w:rPr>
              <w:t>Change date</w:t>
            </w:r>
          </w:p>
        </w:tc>
        <w:tc>
          <w:tcPr>
            <w:tcW w:w="7740" w:type="dxa"/>
            <w:hideMark/>
          </w:tcPr>
          <w:p w:rsidR="00A7756A" w:rsidRDefault="00A7756A" w:rsidP="00A7756A">
            <w:pPr>
              <w:pStyle w:val="BlockText"/>
            </w:pPr>
            <w:r>
              <w:t>February 12, 2014, Change 1</w:t>
            </w:r>
          </w:p>
          <w:p w:rsidR="00423161" w:rsidRPr="00C752B4" w:rsidRDefault="00423161" w:rsidP="00AB0612">
            <w:pPr>
              <w:pStyle w:val="BulletText1"/>
              <w:numPr>
                <w:ilvl w:val="0"/>
                <w:numId w:val="13"/>
              </w:numPr>
              <w:spacing w:line="276" w:lineRule="auto"/>
              <w:ind w:left="187" w:hanging="187"/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This entire section has been updated.</w:t>
            </w:r>
          </w:p>
        </w:tc>
      </w:tr>
    </w:tbl>
    <w:p w:rsidR="00423161" w:rsidRPr="00C752B4" w:rsidRDefault="00423161" w:rsidP="00423161">
      <w:pPr>
        <w:pStyle w:val="BlockLine"/>
        <w:rPr>
          <w:sz w:val="23"/>
          <w:szCs w:val="23"/>
        </w:rPr>
      </w:pPr>
      <w:r w:rsidRPr="00C752B4">
        <w:rPr>
          <w:sz w:val="23"/>
          <w:szCs w:val="23"/>
        </w:rP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F2186" w:rsidTr="00717114">
        <w:trPr>
          <w:cantSplit/>
        </w:trPr>
        <w:tc>
          <w:tcPr>
            <w:tcW w:w="1728" w:type="dxa"/>
          </w:tcPr>
          <w:p w:rsidR="00CF2186" w:rsidRDefault="00CF2186" w:rsidP="00717114">
            <w:pPr>
              <w:pStyle w:val="Heading5"/>
            </w:pPr>
            <w:r>
              <w:t>a. Introduction</w:t>
            </w:r>
          </w:p>
        </w:tc>
        <w:tc>
          <w:tcPr>
            <w:tcW w:w="7740" w:type="dxa"/>
          </w:tcPr>
          <w:p w:rsidR="00CF2186" w:rsidRPr="007E2A70" w:rsidRDefault="00CF2186" w:rsidP="00717114">
            <w:pPr>
              <w:pStyle w:val="BlockText"/>
            </w:pPr>
            <w:r>
              <w:t>Veterans with respiratory related injuries, or severe burn injuries that reduce range of motion, may have needs that differ from other SAH eligible Veterans.  It is important, especially in cases s</w:t>
            </w:r>
            <w:r w:rsidR="00FE4534">
              <w:t>uch as these, that each RLC has</w:t>
            </w:r>
            <w:r>
              <w:t xml:space="preserve"> a flexible and expeditious approach to approving reasonable adaptations based on the specific needs of each Veteran.</w:t>
            </w:r>
          </w:p>
        </w:tc>
      </w:tr>
    </w:tbl>
    <w:p w:rsidR="00CF2186" w:rsidRPr="009636AA" w:rsidRDefault="00CF2186" w:rsidP="00CF2186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F2186" w:rsidTr="00717114">
        <w:trPr>
          <w:cantSplit/>
        </w:trPr>
        <w:tc>
          <w:tcPr>
            <w:tcW w:w="1728" w:type="dxa"/>
          </w:tcPr>
          <w:p w:rsidR="00CF2186" w:rsidRDefault="00FE4534" w:rsidP="00717114">
            <w:pPr>
              <w:pStyle w:val="Heading5"/>
            </w:pPr>
            <w:r>
              <w:t>b. RLC</w:t>
            </w:r>
            <w:r w:rsidR="00A654A6">
              <w:t>-</w:t>
            </w:r>
            <w:r>
              <w:t xml:space="preserve"> Approved E</w:t>
            </w:r>
            <w:r w:rsidR="00CF2186">
              <w:t>quipment</w:t>
            </w:r>
          </w:p>
        </w:tc>
        <w:tc>
          <w:tcPr>
            <w:tcW w:w="7740" w:type="dxa"/>
          </w:tcPr>
          <w:p w:rsidR="00CF2186" w:rsidRDefault="00CF2186" w:rsidP="00717114">
            <w:pPr>
              <w:pStyle w:val="BlockText"/>
              <w:numPr>
                <w:ilvl w:val="12"/>
                <w:numId w:val="0"/>
              </w:numPr>
            </w:pPr>
            <w:r>
              <w:t>In addition to the o</w:t>
            </w:r>
            <w:r w:rsidR="00FE4534">
              <w:t>ther RAs presented earlier in Appendix</w:t>
            </w:r>
            <w:r>
              <w:t xml:space="preserve"> B, the following adaptations are deemed reasonably necessary for Veterans with burn injuries or respiratory related injuries:</w:t>
            </w:r>
          </w:p>
          <w:p w:rsidR="00CF2186" w:rsidRDefault="00CF2186" w:rsidP="00717114">
            <w:pPr>
              <w:pStyle w:val="BlockText"/>
              <w:numPr>
                <w:ilvl w:val="12"/>
                <w:numId w:val="0"/>
              </w:numPr>
            </w:pPr>
          </w:p>
          <w:p w:rsidR="00CF2186" w:rsidRDefault="00CF2186" w:rsidP="00CF2186">
            <w:pPr>
              <w:pStyle w:val="BlockText"/>
              <w:numPr>
                <w:ilvl w:val="0"/>
                <w:numId w:val="11"/>
              </w:numPr>
            </w:pPr>
            <w:r>
              <w:t>a larger bathtub or walk-in tub to minimize the range o</w:t>
            </w:r>
            <w:r w:rsidR="001D4876">
              <w:t>f motion required to enter/exit;</w:t>
            </w:r>
          </w:p>
          <w:p w:rsidR="00CF2186" w:rsidRDefault="00CF2186" w:rsidP="00CF2186">
            <w:pPr>
              <w:pStyle w:val="BlockText"/>
              <w:numPr>
                <w:ilvl w:val="0"/>
                <w:numId w:val="11"/>
              </w:numPr>
            </w:pPr>
            <w:r>
              <w:t>enlarged</w:t>
            </w:r>
            <w:r w:rsidR="001D4876">
              <w:t xml:space="preserve"> showers to accommodate seating;</w:t>
            </w:r>
          </w:p>
          <w:p w:rsidR="00CF2186" w:rsidRDefault="00CF2186" w:rsidP="00CF2186">
            <w:pPr>
              <w:pStyle w:val="BlockText"/>
              <w:numPr>
                <w:ilvl w:val="0"/>
                <w:numId w:val="11"/>
              </w:numPr>
            </w:pPr>
            <w:r>
              <w:t>motion/touch sen</w:t>
            </w:r>
            <w:r w:rsidR="001D4876">
              <w:t>sing faucets and light switches;</w:t>
            </w:r>
          </w:p>
          <w:p w:rsidR="00CF2186" w:rsidRDefault="00CF2186" w:rsidP="00CF2186">
            <w:pPr>
              <w:pStyle w:val="BlockText"/>
              <w:numPr>
                <w:ilvl w:val="0"/>
                <w:numId w:val="11"/>
              </w:numPr>
            </w:pPr>
            <w:r>
              <w:t>integrated, whole-house climate and lig</w:t>
            </w:r>
            <w:r w:rsidR="0035228F">
              <w:t>hting controls (smart controls),</w:t>
            </w:r>
          </w:p>
          <w:p w:rsidR="00CF2186" w:rsidRDefault="001D4876" w:rsidP="00CF2186">
            <w:pPr>
              <w:pStyle w:val="BlockText"/>
              <w:numPr>
                <w:ilvl w:val="0"/>
                <w:numId w:val="11"/>
              </w:numPr>
            </w:pPr>
            <w:r>
              <w:t>automatic door openers;</w:t>
            </w:r>
          </w:p>
          <w:p w:rsidR="00CF2186" w:rsidRDefault="00CF2186" w:rsidP="00CF2186">
            <w:pPr>
              <w:pStyle w:val="BlockText"/>
              <w:numPr>
                <w:ilvl w:val="0"/>
                <w:numId w:val="11"/>
              </w:numPr>
            </w:pPr>
            <w:r>
              <w:t xml:space="preserve">accessible, custom closets and </w:t>
            </w:r>
            <w:r w:rsidR="001D4876">
              <w:t>shelving;</w:t>
            </w:r>
          </w:p>
          <w:p w:rsidR="00CF2186" w:rsidRDefault="00CF2186" w:rsidP="00CF2186">
            <w:pPr>
              <w:pStyle w:val="BlockText"/>
              <w:numPr>
                <w:ilvl w:val="0"/>
                <w:numId w:val="11"/>
              </w:numPr>
            </w:pPr>
            <w:r>
              <w:t xml:space="preserve">covered or enclosed patios, porches, </w:t>
            </w:r>
            <w:r w:rsidR="0035228F">
              <w:t xml:space="preserve">entryways, retractable awnings, </w:t>
            </w:r>
            <w:r>
              <w:t>window tinting and/or window coverings to control sun exposu</w:t>
            </w:r>
            <w:r w:rsidR="001D4876">
              <w:t>re on the interior and exterior;</w:t>
            </w:r>
          </w:p>
          <w:p w:rsidR="00CF2186" w:rsidRDefault="00CF2186" w:rsidP="00CF2186">
            <w:pPr>
              <w:pStyle w:val="BlockText"/>
              <w:numPr>
                <w:ilvl w:val="0"/>
                <w:numId w:val="11"/>
              </w:numPr>
            </w:pPr>
            <w:r>
              <w:t>conversion of basement areas to finished living areas to provide a comfortable envir</w:t>
            </w:r>
            <w:r w:rsidR="001D4876">
              <w:t>onment free of sun exposure;</w:t>
            </w:r>
          </w:p>
          <w:p w:rsidR="00CF2186" w:rsidRDefault="00CF2186" w:rsidP="00CF2186">
            <w:pPr>
              <w:pStyle w:val="BlockText"/>
              <w:numPr>
                <w:ilvl w:val="0"/>
                <w:numId w:val="11"/>
              </w:numPr>
            </w:pPr>
            <w:r>
              <w:t>room additions to store exercise equipment and/o</w:t>
            </w:r>
            <w:r w:rsidR="0035228F">
              <w:t xml:space="preserve">r </w:t>
            </w:r>
            <w:r w:rsidR="001D4876">
              <w:t>other hobby related equipment;</w:t>
            </w:r>
          </w:p>
          <w:p w:rsidR="00CF2186" w:rsidRDefault="00CF2186" w:rsidP="00CF2186">
            <w:pPr>
              <w:pStyle w:val="BlockText"/>
              <w:numPr>
                <w:ilvl w:val="0"/>
                <w:numId w:val="11"/>
              </w:numPr>
            </w:pPr>
            <w:r>
              <w:t>main</w:t>
            </w:r>
            <w:r w:rsidR="001D4876">
              <w:t>tenance free building materials;</w:t>
            </w:r>
          </w:p>
          <w:p w:rsidR="00CF2186" w:rsidRDefault="00CF2186" w:rsidP="00CF2186">
            <w:pPr>
              <w:pStyle w:val="BlockText"/>
              <w:numPr>
                <w:ilvl w:val="0"/>
                <w:numId w:val="11"/>
              </w:numPr>
            </w:pPr>
            <w:r>
              <w:t xml:space="preserve">invisible fencing, pet doors, and any other equipment related to accommodating a service dog assigned to the </w:t>
            </w:r>
            <w:r w:rsidR="001D4876">
              <w:t>Veteran;</w:t>
            </w:r>
          </w:p>
          <w:p w:rsidR="00CF2186" w:rsidRDefault="00CF2186" w:rsidP="00CF2186">
            <w:pPr>
              <w:pStyle w:val="BlockText"/>
              <w:numPr>
                <w:ilvl w:val="0"/>
                <w:numId w:val="11"/>
              </w:numPr>
            </w:pPr>
            <w:r>
              <w:t>air filtr</w:t>
            </w:r>
            <w:r w:rsidR="001D4876">
              <w:t>ation and dehumidifying systems;</w:t>
            </w:r>
            <w:r w:rsidR="0035228F">
              <w:t xml:space="preserve"> and</w:t>
            </w:r>
          </w:p>
          <w:p w:rsidR="00CF2186" w:rsidRDefault="00CF2186" w:rsidP="00CF2186">
            <w:pPr>
              <w:pStyle w:val="BlockText"/>
              <w:numPr>
                <w:ilvl w:val="0"/>
                <w:numId w:val="11"/>
              </w:numPr>
            </w:pPr>
            <w:r>
              <w:t>replacement of carpet with hard surface flooring for dust control</w:t>
            </w:r>
            <w:r w:rsidR="0035228F">
              <w:t>.</w:t>
            </w:r>
          </w:p>
          <w:p w:rsidR="00CF2186" w:rsidRDefault="00CF2186" w:rsidP="00717114">
            <w:pPr>
              <w:pStyle w:val="BlockText"/>
            </w:pPr>
          </w:p>
          <w:p w:rsidR="00FE4534" w:rsidRDefault="00CF2186" w:rsidP="00717114">
            <w:pPr>
              <w:pStyle w:val="BlockText"/>
            </w:pPr>
            <w:r>
              <w:t xml:space="preserve">As the types of injuries and treatments continue to change, new and creative adaptations may be deemed reasonably necessary.  For adaptations that are not included in this appendix, a request </w:t>
            </w:r>
            <w:r w:rsidRPr="00A654A6">
              <w:t>must</w:t>
            </w:r>
            <w:r>
              <w:t xml:space="preserve"> be submitted by the Veteran, along with justification and a recommendation from the RLC, to CO.</w:t>
            </w:r>
          </w:p>
          <w:p w:rsidR="00FE4534" w:rsidRPr="0048737E" w:rsidRDefault="00FE4534" w:rsidP="00717114">
            <w:pPr>
              <w:pStyle w:val="BlockText"/>
            </w:pPr>
          </w:p>
        </w:tc>
      </w:tr>
    </w:tbl>
    <w:p w:rsidR="00FC6E3E" w:rsidRDefault="00FC6E3E" w:rsidP="00FC6E3E"/>
    <w:p w:rsidR="00FE4534" w:rsidRDefault="00FC6E3E" w:rsidP="00FC6E3E">
      <w:pPr>
        <w:pStyle w:val="Heading4"/>
      </w:pPr>
      <w:r>
        <w:lastRenderedPageBreak/>
        <w:t xml:space="preserve">   5.  </w:t>
      </w:r>
      <w:r w:rsidR="00FE4534" w:rsidRPr="00FE4534">
        <w:t>Recommended Adaptations for Secondary Disabilities</w:t>
      </w:r>
    </w:p>
    <w:p w:rsidR="00423161" w:rsidRDefault="00423161" w:rsidP="00FC6E3E">
      <w:pPr>
        <w:pStyle w:val="BlockLine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7740"/>
      </w:tblGrid>
      <w:tr w:rsidR="00423161" w:rsidRPr="00C752B4" w:rsidTr="00AB0612">
        <w:trPr>
          <w:cantSplit/>
        </w:trPr>
        <w:tc>
          <w:tcPr>
            <w:tcW w:w="1728" w:type="dxa"/>
            <w:hideMark/>
          </w:tcPr>
          <w:p w:rsidR="00423161" w:rsidRPr="001D4876" w:rsidRDefault="00423161" w:rsidP="00AB0612">
            <w:pPr>
              <w:pStyle w:val="Heading5"/>
              <w:spacing w:line="276" w:lineRule="auto"/>
              <w:rPr>
                <w:sz w:val="23"/>
                <w:szCs w:val="23"/>
              </w:rPr>
            </w:pPr>
            <w:r w:rsidRPr="001D4876">
              <w:rPr>
                <w:sz w:val="23"/>
                <w:szCs w:val="23"/>
              </w:rPr>
              <w:t>Change date</w:t>
            </w:r>
          </w:p>
        </w:tc>
        <w:tc>
          <w:tcPr>
            <w:tcW w:w="7740" w:type="dxa"/>
            <w:hideMark/>
          </w:tcPr>
          <w:p w:rsidR="00A7756A" w:rsidRDefault="00A7756A" w:rsidP="00A7756A">
            <w:pPr>
              <w:pStyle w:val="BlockText"/>
            </w:pPr>
            <w:r>
              <w:t>February 12, 2014, Change 1</w:t>
            </w:r>
          </w:p>
          <w:p w:rsidR="00423161" w:rsidRPr="00C752B4" w:rsidRDefault="00423161" w:rsidP="00AB0612">
            <w:pPr>
              <w:pStyle w:val="BulletText1"/>
              <w:numPr>
                <w:ilvl w:val="0"/>
                <w:numId w:val="13"/>
              </w:numPr>
              <w:spacing w:line="276" w:lineRule="auto"/>
              <w:ind w:left="187" w:hanging="187"/>
              <w:rPr>
                <w:sz w:val="23"/>
                <w:szCs w:val="23"/>
              </w:rPr>
            </w:pPr>
            <w:r w:rsidRPr="00C752B4">
              <w:rPr>
                <w:sz w:val="23"/>
                <w:szCs w:val="23"/>
              </w:rPr>
              <w:t>This entire section has been updated.</w:t>
            </w:r>
          </w:p>
        </w:tc>
      </w:tr>
    </w:tbl>
    <w:p w:rsidR="00FC6E3E" w:rsidRPr="00423161" w:rsidRDefault="00423161" w:rsidP="00423161">
      <w:pPr>
        <w:pStyle w:val="BlockLine"/>
        <w:rPr>
          <w:sz w:val="23"/>
          <w:szCs w:val="23"/>
        </w:rPr>
      </w:pPr>
      <w:r w:rsidRPr="00C752B4">
        <w:rPr>
          <w:sz w:val="23"/>
          <w:szCs w:val="23"/>
        </w:rP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F2186" w:rsidTr="00717114">
        <w:trPr>
          <w:cantSplit/>
        </w:trPr>
        <w:tc>
          <w:tcPr>
            <w:tcW w:w="1728" w:type="dxa"/>
          </w:tcPr>
          <w:p w:rsidR="00CF2186" w:rsidRDefault="00CF2186" w:rsidP="00717114">
            <w:pPr>
              <w:pStyle w:val="Heading5"/>
            </w:pPr>
            <w:r>
              <w:t>a. Definition</w:t>
            </w:r>
          </w:p>
        </w:tc>
        <w:tc>
          <w:tcPr>
            <w:tcW w:w="7740" w:type="dxa"/>
          </w:tcPr>
          <w:p w:rsidR="00CF2186" w:rsidRDefault="00CF2186" w:rsidP="00717114">
            <w:pPr>
              <w:pStyle w:val="BlockText"/>
            </w:pPr>
            <w:r>
              <w:t xml:space="preserve">A </w:t>
            </w:r>
            <w:r w:rsidRPr="00A15C07">
              <w:t>secondary disability</w:t>
            </w:r>
            <w:r>
              <w:rPr>
                <w:b/>
              </w:rPr>
              <w:t xml:space="preserve"> </w:t>
            </w:r>
            <w:r>
              <w:t>is a disability that does not entitle a Veteran to the SHA grant, whether service-connected or non-service-connected.</w:t>
            </w:r>
          </w:p>
        </w:tc>
      </w:tr>
    </w:tbl>
    <w:p w:rsidR="00CF2186" w:rsidRDefault="00CF2186" w:rsidP="00CF2186">
      <w:pPr>
        <w:pStyle w:val="BlockLine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F2186" w:rsidTr="00717114">
        <w:trPr>
          <w:cantSplit/>
        </w:trPr>
        <w:tc>
          <w:tcPr>
            <w:tcW w:w="1728" w:type="dxa"/>
          </w:tcPr>
          <w:p w:rsidR="00CF2186" w:rsidRDefault="00CF2186" w:rsidP="00717114">
            <w:pPr>
              <w:pStyle w:val="Heading5"/>
            </w:pPr>
            <w:r>
              <w:t>b. Adaptations</w:t>
            </w:r>
          </w:p>
        </w:tc>
        <w:tc>
          <w:tcPr>
            <w:tcW w:w="7740" w:type="dxa"/>
          </w:tcPr>
          <w:p w:rsidR="00CF2186" w:rsidRDefault="00CF2186" w:rsidP="00FC6E3E">
            <w:pPr>
              <w:pStyle w:val="BlockText"/>
              <w:numPr>
                <w:ilvl w:val="12"/>
                <w:numId w:val="0"/>
              </w:numPr>
            </w:pPr>
            <w:r>
              <w:t>Adaptations to address secondary disabilities are allowed if the condition is documented by a Department of Veterans Affairs physician.  For example, ramps for a blind/wheelchair-bound Veteran are allowed when blindness is service-connected, but the wheelchair condition is non-service connected.</w:t>
            </w:r>
          </w:p>
        </w:tc>
      </w:tr>
    </w:tbl>
    <w:p w:rsidR="00CF2186" w:rsidRDefault="00CF2186" w:rsidP="00CF2186">
      <w:pPr>
        <w:pStyle w:val="BlockLine"/>
      </w:pPr>
    </w:p>
    <w:p w:rsidR="00C95E3A" w:rsidRDefault="00C95E3A"/>
    <w:sectPr w:rsidR="00C95E3A" w:rsidSect="00BA5F5F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5F" w:rsidRDefault="00BA5F5F" w:rsidP="00BA5F5F">
      <w:r>
        <w:separator/>
      </w:r>
    </w:p>
  </w:endnote>
  <w:endnote w:type="continuationSeparator" w:id="0">
    <w:p w:rsidR="00BA5F5F" w:rsidRDefault="00BA5F5F" w:rsidP="00BA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679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5F5F" w:rsidRDefault="001D4876">
        <w:pPr>
          <w:pStyle w:val="Footer"/>
        </w:pPr>
        <w:r>
          <w:t>B-</w:t>
        </w:r>
        <w:r w:rsidR="00BA5F5F">
          <w:fldChar w:fldCharType="begin"/>
        </w:r>
        <w:r w:rsidR="00BA5F5F">
          <w:instrText xml:space="preserve"> PAGE   \* MERGEFORMAT </w:instrText>
        </w:r>
        <w:r w:rsidR="00BA5F5F">
          <w:fldChar w:fldCharType="separate"/>
        </w:r>
        <w:r w:rsidR="00601998">
          <w:rPr>
            <w:noProof/>
          </w:rPr>
          <w:t>8</w:t>
        </w:r>
        <w:r w:rsidR="00BA5F5F">
          <w:rPr>
            <w:noProof/>
          </w:rPr>
          <w:fldChar w:fldCharType="end"/>
        </w:r>
      </w:p>
    </w:sdtContent>
  </w:sdt>
  <w:p w:rsidR="00BA5F5F" w:rsidRDefault="00BA5F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5F" w:rsidRDefault="00BA5F5F">
    <w:pPr>
      <w:pStyle w:val="Footer"/>
      <w:jc w:val="right"/>
    </w:pPr>
    <w:r>
      <w:t>B-</w:t>
    </w:r>
    <w:sdt>
      <w:sdtPr>
        <w:id w:val="-2014215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99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BA5F5F" w:rsidRDefault="00BA5F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5F" w:rsidRDefault="00BA5F5F" w:rsidP="00BA5F5F">
      <w:r>
        <w:separator/>
      </w:r>
    </w:p>
  </w:footnote>
  <w:footnote w:type="continuationSeparator" w:id="0">
    <w:p w:rsidR="00BA5F5F" w:rsidRDefault="00BA5F5F" w:rsidP="00BA5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5F" w:rsidRPr="00BA5F5F" w:rsidRDefault="00BA5F5F" w:rsidP="00BA5F5F">
    <w:pPr>
      <w:pStyle w:val="Header"/>
      <w:rPr>
        <w:i/>
      </w:rPr>
    </w:pPr>
    <w:r w:rsidRPr="00BA5F5F">
      <w:rPr>
        <w:i/>
      </w:rPr>
      <w:t>VA Manual 26-12, Revised</w:t>
    </w:r>
  </w:p>
  <w:p w:rsidR="00BA5F5F" w:rsidRPr="00BA5F5F" w:rsidRDefault="00BA5F5F" w:rsidP="00BA5F5F">
    <w:pPr>
      <w:pStyle w:val="Header"/>
      <w:rPr>
        <w:i/>
      </w:rPr>
    </w:pPr>
    <w:r w:rsidRPr="00BA5F5F">
      <w:rPr>
        <w:i/>
      </w:rPr>
      <w:t>Appendix B: Recommended Adaptations</w:t>
    </w:r>
    <w:r w:rsidR="00A654A6">
      <w:rPr>
        <w:i/>
      </w:rPr>
      <w:t xml:space="preserve"> for Special Housing Adaptation </w:t>
    </w:r>
    <w:r w:rsidR="001D4876">
      <w:rPr>
        <w:i/>
      </w:rPr>
      <w:t xml:space="preserve">(SHA) </w:t>
    </w:r>
    <w:r w:rsidR="00A654A6">
      <w:rPr>
        <w:i/>
      </w:rPr>
      <w:t>Grants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5F" w:rsidRPr="00BA5F5F" w:rsidRDefault="00BA5F5F" w:rsidP="00BA5F5F">
    <w:pPr>
      <w:pStyle w:val="Header"/>
      <w:jc w:val="right"/>
      <w:rPr>
        <w:i/>
      </w:rPr>
    </w:pPr>
    <w:r w:rsidRPr="00BA5F5F">
      <w:rPr>
        <w:i/>
      </w:rPr>
      <w:t>VA Manual 26-12, Revised</w:t>
    </w:r>
  </w:p>
  <w:p w:rsidR="00BA5F5F" w:rsidRPr="00BA5F5F" w:rsidRDefault="00BA5F5F" w:rsidP="00BA5F5F">
    <w:pPr>
      <w:pStyle w:val="Header"/>
      <w:jc w:val="right"/>
      <w:rPr>
        <w:i/>
      </w:rPr>
    </w:pPr>
    <w:r w:rsidRPr="00BA5F5F">
      <w:rPr>
        <w:i/>
      </w:rPr>
      <w:t>Appendix B: Recommended Adaptations</w:t>
    </w:r>
    <w:r w:rsidR="00A654A6">
      <w:rPr>
        <w:i/>
      </w:rPr>
      <w:t xml:space="preserve"> for Special Housing Adaptation </w:t>
    </w:r>
    <w:r w:rsidR="001D4876">
      <w:rPr>
        <w:i/>
      </w:rPr>
      <w:t xml:space="preserve">(SHA) </w:t>
    </w:r>
    <w:r w:rsidR="00A654A6">
      <w:rPr>
        <w:i/>
      </w:rPr>
      <w:t>Grants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57F"/>
    <w:multiLevelType w:val="hybridMultilevel"/>
    <w:tmpl w:val="6AD4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E6548"/>
    <w:multiLevelType w:val="hybridMultilevel"/>
    <w:tmpl w:val="AAAE6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CF51D4"/>
    <w:multiLevelType w:val="hybridMultilevel"/>
    <w:tmpl w:val="F30CC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D2D32"/>
    <w:multiLevelType w:val="hybridMultilevel"/>
    <w:tmpl w:val="41DE5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0784A"/>
    <w:multiLevelType w:val="hybridMultilevel"/>
    <w:tmpl w:val="F320D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3C1BAD"/>
    <w:multiLevelType w:val="hybridMultilevel"/>
    <w:tmpl w:val="00A8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84547"/>
    <w:multiLevelType w:val="hybridMultilevel"/>
    <w:tmpl w:val="13946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775C8"/>
    <w:multiLevelType w:val="hybridMultilevel"/>
    <w:tmpl w:val="7A904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B02AF"/>
    <w:multiLevelType w:val="singleLevel"/>
    <w:tmpl w:val="B07628FE"/>
    <w:lvl w:ilvl="0">
      <w:start w:val="1"/>
      <w:numFmt w:val="bullet"/>
      <w:pStyle w:val="BulletText2"/>
      <w:lvlText w:val=""/>
      <w:lvlJc w:val="left"/>
      <w:pPr>
        <w:tabs>
          <w:tab w:val="num" w:pos="547"/>
        </w:tabs>
        <w:ind w:left="360" w:hanging="173"/>
      </w:pPr>
      <w:rPr>
        <w:rFonts w:ascii="Symbol" w:hAnsi="Symbol" w:hint="default"/>
      </w:rPr>
    </w:lvl>
  </w:abstractNum>
  <w:abstractNum w:abstractNumId="9">
    <w:nsid w:val="739209CB"/>
    <w:multiLevelType w:val="hybridMultilevel"/>
    <w:tmpl w:val="DB58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0730F"/>
    <w:multiLevelType w:val="hybridMultilevel"/>
    <w:tmpl w:val="BCAE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407290"/>
    <w:multiLevelType w:val="singleLevel"/>
    <w:tmpl w:val="74904ABE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  <w:num w:numId="12">
    <w:abstractNumId w:val="2"/>
  </w:num>
  <w:num w:numId="13">
    <w:abstractNumId w:val="1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86"/>
    <w:rsid w:val="001D4876"/>
    <w:rsid w:val="0035228F"/>
    <w:rsid w:val="00422E93"/>
    <w:rsid w:val="00423161"/>
    <w:rsid w:val="004568D0"/>
    <w:rsid w:val="00601998"/>
    <w:rsid w:val="00644319"/>
    <w:rsid w:val="00752009"/>
    <w:rsid w:val="00A654A6"/>
    <w:rsid w:val="00A7756A"/>
    <w:rsid w:val="00BA5F5F"/>
    <w:rsid w:val="00C752B4"/>
    <w:rsid w:val="00C95E3A"/>
    <w:rsid w:val="00CF2186"/>
    <w:rsid w:val="00FB24DC"/>
    <w:rsid w:val="00FC6E3E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CF2186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CF2186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CF2186"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link w:val="Heading5Char"/>
    <w:qFormat/>
    <w:rsid w:val="00CF2186"/>
    <w:pPr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CF2186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CF2186"/>
    <w:rPr>
      <w:rFonts w:ascii="Arial" w:eastAsia="Times New Roman" w:hAnsi="Arial" w:cs="Times New Roman"/>
      <w:b/>
      <w:sz w:val="32"/>
      <w:szCs w:val="20"/>
    </w:rPr>
  </w:style>
  <w:style w:type="character" w:customStyle="1" w:styleId="Heading4Char">
    <w:name w:val="Heading 4 Char"/>
    <w:aliases w:val="Map Title Char"/>
    <w:basedOn w:val="DefaultParagraphFont"/>
    <w:link w:val="Heading4"/>
    <w:rsid w:val="00CF2186"/>
    <w:rPr>
      <w:rFonts w:ascii="Arial" w:eastAsia="Times New Roman" w:hAnsi="Arial" w:cs="Times New Roman"/>
      <w:b/>
      <w:sz w:val="32"/>
      <w:szCs w:val="20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CF2186"/>
    <w:rPr>
      <w:rFonts w:ascii="Times New Roman" w:eastAsia="Times New Roman" w:hAnsi="Times New Roman" w:cs="Times New Roman"/>
      <w:b/>
      <w:szCs w:val="20"/>
    </w:rPr>
  </w:style>
  <w:style w:type="paragraph" w:customStyle="1" w:styleId="BulletText2">
    <w:name w:val="Bullet Text 2"/>
    <w:basedOn w:val="Normal"/>
    <w:rsid w:val="00CF2186"/>
    <w:pPr>
      <w:numPr>
        <w:numId w:val="2"/>
      </w:numPr>
      <w:tabs>
        <w:tab w:val="left" w:pos="374"/>
      </w:tabs>
    </w:pPr>
  </w:style>
  <w:style w:type="paragraph" w:customStyle="1" w:styleId="BlockLine">
    <w:name w:val="Block Line"/>
    <w:basedOn w:val="Normal"/>
    <w:next w:val="Normal"/>
    <w:rsid w:val="00CF2186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rsid w:val="00CF2186"/>
  </w:style>
  <w:style w:type="paragraph" w:customStyle="1" w:styleId="TableHeaderText">
    <w:name w:val="Table Header Text"/>
    <w:basedOn w:val="TableText"/>
    <w:rsid w:val="00CF2186"/>
    <w:pPr>
      <w:jc w:val="center"/>
    </w:pPr>
    <w:rPr>
      <w:b/>
    </w:rPr>
  </w:style>
  <w:style w:type="paragraph" w:customStyle="1" w:styleId="TableText">
    <w:name w:val="Table Text"/>
    <w:basedOn w:val="Normal"/>
    <w:rsid w:val="00CF2186"/>
  </w:style>
  <w:style w:type="paragraph" w:customStyle="1" w:styleId="BulletText1">
    <w:name w:val="Bullet Text 1"/>
    <w:basedOn w:val="Normal"/>
    <w:rsid w:val="00CF2186"/>
    <w:pPr>
      <w:numPr>
        <w:numId w:val="1"/>
      </w:numPr>
      <w:tabs>
        <w:tab w:val="left" w:pos="187"/>
      </w:tabs>
      <w:ind w:left="187" w:hanging="18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F5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5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F5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CF2186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CF2186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CF2186"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link w:val="Heading5Char"/>
    <w:qFormat/>
    <w:rsid w:val="00CF2186"/>
    <w:pPr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CF2186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CF2186"/>
    <w:rPr>
      <w:rFonts w:ascii="Arial" w:eastAsia="Times New Roman" w:hAnsi="Arial" w:cs="Times New Roman"/>
      <w:b/>
      <w:sz w:val="32"/>
      <w:szCs w:val="20"/>
    </w:rPr>
  </w:style>
  <w:style w:type="character" w:customStyle="1" w:styleId="Heading4Char">
    <w:name w:val="Heading 4 Char"/>
    <w:aliases w:val="Map Title Char"/>
    <w:basedOn w:val="DefaultParagraphFont"/>
    <w:link w:val="Heading4"/>
    <w:rsid w:val="00CF2186"/>
    <w:rPr>
      <w:rFonts w:ascii="Arial" w:eastAsia="Times New Roman" w:hAnsi="Arial" w:cs="Times New Roman"/>
      <w:b/>
      <w:sz w:val="32"/>
      <w:szCs w:val="20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CF2186"/>
    <w:rPr>
      <w:rFonts w:ascii="Times New Roman" w:eastAsia="Times New Roman" w:hAnsi="Times New Roman" w:cs="Times New Roman"/>
      <w:b/>
      <w:szCs w:val="20"/>
    </w:rPr>
  </w:style>
  <w:style w:type="paragraph" w:customStyle="1" w:styleId="BulletText2">
    <w:name w:val="Bullet Text 2"/>
    <w:basedOn w:val="Normal"/>
    <w:rsid w:val="00CF2186"/>
    <w:pPr>
      <w:numPr>
        <w:numId w:val="2"/>
      </w:numPr>
      <w:tabs>
        <w:tab w:val="left" w:pos="374"/>
      </w:tabs>
    </w:pPr>
  </w:style>
  <w:style w:type="paragraph" w:customStyle="1" w:styleId="BlockLine">
    <w:name w:val="Block Line"/>
    <w:basedOn w:val="Normal"/>
    <w:next w:val="Normal"/>
    <w:rsid w:val="00CF2186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rsid w:val="00CF2186"/>
  </w:style>
  <w:style w:type="paragraph" w:customStyle="1" w:styleId="TableHeaderText">
    <w:name w:val="Table Header Text"/>
    <w:basedOn w:val="TableText"/>
    <w:rsid w:val="00CF2186"/>
    <w:pPr>
      <w:jc w:val="center"/>
    </w:pPr>
    <w:rPr>
      <w:b/>
    </w:rPr>
  </w:style>
  <w:style w:type="paragraph" w:customStyle="1" w:styleId="TableText">
    <w:name w:val="Table Text"/>
    <w:basedOn w:val="Normal"/>
    <w:rsid w:val="00CF2186"/>
  </w:style>
  <w:style w:type="paragraph" w:customStyle="1" w:styleId="BulletText1">
    <w:name w:val="Bullet Text 1"/>
    <w:basedOn w:val="Normal"/>
    <w:rsid w:val="00CF2186"/>
    <w:pPr>
      <w:numPr>
        <w:numId w:val="1"/>
      </w:numPr>
      <w:tabs>
        <w:tab w:val="left" w:pos="187"/>
      </w:tabs>
      <w:ind w:left="187" w:hanging="18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F5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5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F5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97866-BCD7-46D9-BEB0-BAEE85B1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Wiley, Melissa, VBAVACO</dc:creator>
  <cp:lastModifiedBy>Ricardo Da Silva</cp:lastModifiedBy>
  <cp:revision>2</cp:revision>
  <cp:lastPrinted>2013-12-04T21:05:00Z</cp:lastPrinted>
  <dcterms:created xsi:type="dcterms:W3CDTF">2014-02-19T19:22:00Z</dcterms:created>
  <dcterms:modified xsi:type="dcterms:W3CDTF">2014-02-19T19:22:00Z</dcterms:modified>
</cp:coreProperties>
</file>