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02" w:rsidRPr="00CB50F5" w:rsidRDefault="009018D4" w:rsidP="00CB50F5">
      <w:pPr>
        <w:pStyle w:val="Heading3"/>
        <w:jc w:val="left"/>
      </w:pPr>
      <w:bookmarkStart w:id="0" w:name="_GoBack"/>
      <w:bookmarkEnd w:id="0"/>
      <w:r>
        <w:t xml:space="preserve">Appendix E. </w:t>
      </w:r>
      <w:r w:rsidRPr="00EB06EA">
        <w:t>T</w:t>
      </w:r>
      <w:r w:rsidR="00800645">
        <w:t xml:space="preserve">emporary </w:t>
      </w:r>
      <w:r w:rsidRPr="00EB06EA">
        <w:t>R</w:t>
      </w:r>
      <w:r w:rsidR="00800645">
        <w:t xml:space="preserve">esidence </w:t>
      </w:r>
      <w:r w:rsidRPr="00EB06EA">
        <w:t>A</w:t>
      </w:r>
      <w:r w:rsidR="00800645">
        <w:t>daptation</w:t>
      </w:r>
      <w:r w:rsidR="00CB50F5">
        <w:t>s</w:t>
      </w:r>
      <w:r w:rsidR="00800645">
        <w:t xml:space="preserve"> (TRA)</w:t>
      </w:r>
      <w:r w:rsidRPr="00EB06EA">
        <w:t xml:space="preserve"> Grant</w:t>
      </w:r>
      <w:r w:rsidR="00065E02" w:rsidRPr="00065E02">
        <w:t xml:space="preserve"> </w:t>
      </w:r>
    </w:p>
    <w:p w:rsidR="00065E02" w:rsidRPr="00003773" w:rsidRDefault="00065E02" w:rsidP="00065E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Overview</w:t>
      </w:r>
    </w:p>
    <w:p w:rsidR="00065E02" w:rsidRPr="00003773" w:rsidRDefault="00065E02" w:rsidP="00065E02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065E02" w:rsidTr="002B0409">
        <w:trPr>
          <w:cantSplit/>
        </w:trPr>
        <w:tc>
          <w:tcPr>
            <w:tcW w:w="1728" w:type="dxa"/>
          </w:tcPr>
          <w:p w:rsidR="00065E02" w:rsidRDefault="00065E02" w:rsidP="00412A76">
            <w:pPr>
              <w:pStyle w:val="Heading5"/>
            </w:pPr>
            <w:r>
              <w:t xml:space="preserve">In this </w:t>
            </w:r>
            <w:r w:rsidR="00412A76">
              <w:t>Chapter</w:t>
            </w:r>
          </w:p>
        </w:tc>
        <w:tc>
          <w:tcPr>
            <w:tcW w:w="7920" w:type="dxa"/>
          </w:tcPr>
          <w:p w:rsidR="00065E02" w:rsidRDefault="00065E02" w:rsidP="00412A76">
            <w:pPr>
              <w:pStyle w:val="BlockText"/>
            </w:pPr>
            <w:r>
              <w:t xml:space="preserve">This </w:t>
            </w:r>
            <w:r w:rsidR="00412A76">
              <w:t>chapter contains the following topics.</w:t>
            </w:r>
          </w:p>
        </w:tc>
      </w:tr>
    </w:tbl>
    <w:p w:rsidR="00065E02" w:rsidRDefault="00065E02" w:rsidP="00065E02"/>
    <w:tbl>
      <w:tblPr>
        <w:tblW w:w="7820" w:type="dxa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6120"/>
        <w:gridCol w:w="900"/>
      </w:tblGrid>
      <w:tr w:rsidR="00065E02" w:rsidTr="002B0409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02" w:rsidRDefault="00065E02" w:rsidP="002B0409">
            <w:pPr>
              <w:pStyle w:val="TableHeaderText"/>
            </w:pPr>
            <w:r>
              <w:t>Topic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02" w:rsidRDefault="00065E02" w:rsidP="002B0409">
            <w:pPr>
              <w:pStyle w:val="TableHeaderText"/>
            </w:pPr>
            <w:r>
              <w:t xml:space="preserve">Topic name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02" w:rsidRDefault="00065E02" w:rsidP="002B0409">
            <w:pPr>
              <w:pStyle w:val="TableHeaderText"/>
            </w:pPr>
            <w:r>
              <w:t>See Page</w:t>
            </w:r>
          </w:p>
        </w:tc>
      </w:tr>
      <w:tr w:rsidR="00065E02" w:rsidTr="002B0409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02" w:rsidRDefault="00A84E6B" w:rsidP="002B040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02" w:rsidRDefault="00065E02" w:rsidP="00065E02">
            <w:pPr>
              <w:pStyle w:val="TableText"/>
            </w:pPr>
            <w:r>
              <w:t>TRA</w:t>
            </w:r>
            <w:r w:rsidR="00800645">
              <w:t xml:space="preserve"> Grant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02" w:rsidRDefault="00800645" w:rsidP="002B0409">
            <w:pPr>
              <w:pStyle w:val="TableText"/>
              <w:jc w:val="center"/>
            </w:pPr>
            <w:r>
              <w:t>E-2</w:t>
            </w:r>
          </w:p>
        </w:tc>
      </w:tr>
    </w:tbl>
    <w:p w:rsidR="00065E02" w:rsidRDefault="00065E02" w:rsidP="00065E02">
      <w:pPr>
        <w:pStyle w:val="BlockLine"/>
        <w:ind w:right="-180"/>
      </w:pPr>
      <w:r>
        <w:t xml:space="preserve"> </w:t>
      </w:r>
    </w:p>
    <w:p w:rsidR="009018D4" w:rsidRDefault="009018D4" w:rsidP="009018D4">
      <w:pPr>
        <w:pStyle w:val="Heading3"/>
        <w:jc w:val="left"/>
        <w:rPr>
          <w:rFonts w:cs="Arial"/>
          <w:color w:val="000000"/>
          <w:szCs w:val="32"/>
        </w:rPr>
      </w:pPr>
    </w:p>
    <w:p w:rsidR="00800645" w:rsidRDefault="00800645" w:rsidP="00800645">
      <w:pPr>
        <w:pStyle w:val="Heading4"/>
      </w:pPr>
    </w:p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800645" w:rsidRDefault="00800645" w:rsidP="00800645"/>
    <w:p w:rsidR="00CB50F5" w:rsidRDefault="00CB50F5" w:rsidP="00CB50F5">
      <w:pPr>
        <w:pStyle w:val="Heading3"/>
        <w:jc w:val="left"/>
      </w:pPr>
    </w:p>
    <w:p w:rsidR="00CB50F5" w:rsidRDefault="00800645" w:rsidP="00CB50F5">
      <w:pPr>
        <w:pStyle w:val="Heading3"/>
        <w:jc w:val="left"/>
      </w:pPr>
      <w:r>
        <w:lastRenderedPageBreak/>
        <w:t xml:space="preserve">1.  </w:t>
      </w:r>
      <w:r w:rsidRPr="00EB06EA">
        <w:t>TRA Grant</w:t>
      </w:r>
    </w:p>
    <w:p w:rsidR="00CB50F5" w:rsidRDefault="00CB50F5" w:rsidP="00CB50F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B50F5" w:rsidTr="002B0409">
        <w:trPr>
          <w:cantSplit/>
        </w:trPr>
        <w:tc>
          <w:tcPr>
            <w:tcW w:w="1728" w:type="dxa"/>
          </w:tcPr>
          <w:p w:rsidR="00CB50F5" w:rsidRDefault="00CB50F5" w:rsidP="002B0409">
            <w:pPr>
              <w:pStyle w:val="Heading5"/>
            </w:pPr>
            <w:r>
              <w:t>Change Date</w:t>
            </w:r>
          </w:p>
        </w:tc>
        <w:tc>
          <w:tcPr>
            <w:tcW w:w="7740" w:type="dxa"/>
          </w:tcPr>
          <w:p w:rsidR="009A2567" w:rsidRDefault="009A2567" w:rsidP="009A2567">
            <w:pPr>
              <w:pStyle w:val="BlockText"/>
            </w:pPr>
            <w:r>
              <w:t>February 12, 2014, Change 1</w:t>
            </w:r>
          </w:p>
          <w:p w:rsidR="00CB50F5" w:rsidRDefault="00CB50F5" w:rsidP="002B0409">
            <w:pPr>
              <w:pStyle w:val="BulletText1"/>
            </w:pPr>
            <w:r>
              <w:t>This entire section has been updated.</w:t>
            </w:r>
          </w:p>
        </w:tc>
      </w:tr>
    </w:tbl>
    <w:p w:rsidR="009018D4" w:rsidRDefault="009018D4" w:rsidP="009018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018D4" w:rsidTr="00E42ADC">
        <w:trPr>
          <w:cantSplit/>
        </w:trPr>
        <w:tc>
          <w:tcPr>
            <w:tcW w:w="1728" w:type="dxa"/>
          </w:tcPr>
          <w:p w:rsidR="009018D4" w:rsidRDefault="009018D4" w:rsidP="00E42ADC">
            <w:pPr>
              <w:pStyle w:val="Heading5"/>
            </w:pPr>
            <w:r>
              <w:t>a. Description</w:t>
            </w:r>
          </w:p>
        </w:tc>
        <w:tc>
          <w:tcPr>
            <w:tcW w:w="7740" w:type="dxa"/>
          </w:tcPr>
          <w:p w:rsidR="009018D4" w:rsidRDefault="009018D4" w:rsidP="00E42ADC">
            <w:pPr>
              <w:pStyle w:val="BlockText"/>
            </w:pPr>
            <w:r>
              <w:t>The TRA grant is designed to assist eligible Veterans who are temporarily residing in a housing unit owned by a family member.  Grant funds may be used to adapt the family member’s housing unit to meet the current needs of the Veteran.</w:t>
            </w:r>
          </w:p>
        </w:tc>
      </w:tr>
    </w:tbl>
    <w:p w:rsidR="009018D4" w:rsidRDefault="009018D4" w:rsidP="009018D4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018D4" w:rsidTr="00E42ADC">
        <w:trPr>
          <w:cantSplit/>
        </w:trPr>
        <w:tc>
          <w:tcPr>
            <w:tcW w:w="1728" w:type="dxa"/>
          </w:tcPr>
          <w:p w:rsidR="009018D4" w:rsidRDefault="009018D4" w:rsidP="00E42ADC">
            <w:pPr>
              <w:pStyle w:val="Heading5"/>
            </w:pPr>
            <w:r>
              <w:t>b. Limitations</w:t>
            </w:r>
          </w:p>
        </w:tc>
        <w:tc>
          <w:tcPr>
            <w:tcW w:w="7740" w:type="dxa"/>
          </w:tcPr>
          <w:p w:rsidR="009018D4" w:rsidRDefault="009018D4" w:rsidP="00E42ADC">
            <w:pPr>
              <w:pStyle w:val="BlockText"/>
              <w:rPr>
                <w:b/>
              </w:rPr>
            </w:pPr>
            <w:r>
              <w:t xml:space="preserve">In order to receive the TRA grant, the Veteran </w:t>
            </w:r>
            <w:r w:rsidRPr="00800645">
              <w:t>must</w:t>
            </w:r>
            <w:r>
              <w:t xml:space="preserve"> be rated eligible for either the Specially Adapted Housing (SAH) or S</w:t>
            </w:r>
            <w:r w:rsidR="00412A76">
              <w:t>pecial Housing Adaptation</w:t>
            </w:r>
            <w:r>
              <w:t xml:space="preserve"> (SHA) </w:t>
            </w:r>
            <w:r w:rsidR="00412A76">
              <w:t>g</w:t>
            </w:r>
            <w:r>
              <w:t xml:space="preserve">rant.  Veterans rated eligible for </w:t>
            </w:r>
            <w:r w:rsidR="00760AA3">
              <w:t xml:space="preserve">an </w:t>
            </w:r>
            <w:r>
              <w:t xml:space="preserve">SAH </w:t>
            </w:r>
            <w:r w:rsidR="00412A76">
              <w:t>g</w:t>
            </w:r>
            <w:r w:rsidR="00760AA3">
              <w:t xml:space="preserve">rant </w:t>
            </w:r>
            <w:r>
              <w:t xml:space="preserve">and receiving the TRA </w:t>
            </w:r>
            <w:r w:rsidR="00412A76">
              <w:t>g</w:t>
            </w:r>
            <w:r>
              <w:t xml:space="preserve">rant </w:t>
            </w:r>
            <w:r w:rsidRPr="00800645">
              <w:t>must</w:t>
            </w:r>
            <w:r>
              <w:t xml:space="preserve"> adhere to SAH minimum property requirements</w:t>
            </w:r>
            <w:r w:rsidR="009D705B">
              <w:t xml:space="preserve"> (MPRs)</w:t>
            </w:r>
            <w:r>
              <w:t xml:space="preserve"> when adapting a particular feature.  Veterans rated eligible for </w:t>
            </w:r>
            <w:r w:rsidR="00760AA3">
              <w:t xml:space="preserve">an </w:t>
            </w:r>
            <w:r>
              <w:t>SHA</w:t>
            </w:r>
            <w:r w:rsidR="00412A76">
              <w:t xml:space="preserve"> g</w:t>
            </w:r>
            <w:r w:rsidR="00760AA3">
              <w:t xml:space="preserve">rant and receiving the TRA </w:t>
            </w:r>
            <w:r w:rsidR="00412A76">
              <w:t>g</w:t>
            </w:r>
            <w:r>
              <w:t xml:space="preserve">rant </w:t>
            </w:r>
            <w:r w:rsidRPr="00800645">
              <w:t>must</w:t>
            </w:r>
            <w:r>
              <w:t xml:space="preserve"> adhere to the list of SHA recommended adaptations.  Effective August 6, 2013, the TRA grant was excluded from the aggregate limitations on assistance furnished pursuant to s</w:t>
            </w:r>
            <w:r w:rsidR="00760AA3">
              <w:t>ection 2102 of Title 38 U.S.C. T</w:t>
            </w:r>
            <w:r>
              <w:t xml:space="preserve">herefore, a TRA grant used prior to August 6, 2013, would require that funds be deducted from the maximum grant assistance available under either the SAH or SHA program.  A TRA grant used subsequent to August 6, 2013, would not be deducted from the maximum grant assistance available under SAH/SHA.  </w:t>
            </w:r>
          </w:p>
          <w:p w:rsidR="009018D4" w:rsidRDefault="009018D4" w:rsidP="00E42ADC">
            <w:pPr>
              <w:pStyle w:val="BlockText"/>
              <w:rPr>
                <w:b/>
              </w:rPr>
            </w:pPr>
          </w:p>
          <w:p w:rsidR="009018D4" w:rsidRPr="00083EB2" w:rsidRDefault="009018D4" w:rsidP="00E42ADC">
            <w:pPr>
              <w:pStyle w:val="BlockText"/>
            </w:pPr>
            <w:r>
              <w:rPr>
                <w:b/>
                <w:i/>
              </w:rPr>
              <w:t xml:space="preserve">Important:  </w:t>
            </w:r>
            <w:r>
              <w:t xml:space="preserve">Intent is key with the TRA grant.  The Veteran </w:t>
            </w:r>
            <w:r w:rsidRPr="00800645">
              <w:t>must</w:t>
            </w:r>
            <w:r>
              <w:t xml:space="preserve"> not intend to permanently reside with his/her family member in order to use the program.</w:t>
            </w:r>
          </w:p>
        </w:tc>
      </w:tr>
    </w:tbl>
    <w:p w:rsidR="00760AA3" w:rsidRDefault="00760AA3" w:rsidP="009018D4">
      <w:pPr>
        <w:pStyle w:val="BlockLine"/>
        <w:jc w:val="right"/>
        <w:rPr>
          <w:i/>
        </w:rPr>
      </w:pPr>
      <w:r>
        <w:rPr>
          <w:i/>
        </w:rPr>
        <w:t>Continued on the next page</w:t>
      </w:r>
      <w:r w:rsidR="009018D4">
        <w:t xml:space="preserve"> </w:t>
      </w:r>
    </w:p>
    <w:p w:rsidR="00760AA3" w:rsidRPr="00760AA3" w:rsidRDefault="00760AA3" w:rsidP="00760AA3"/>
    <w:p w:rsidR="00760AA3" w:rsidRPr="00760AA3" w:rsidRDefault="00760AA3" w:rsidP="00760AA3"/>
    <w:p w:rsidR="00760AA3" w:rsidRPr="00760AA3" w:rsidRDefault="00760AA3" w:rsidP="00760AA3"/>
    <w:p w:rsidR="00760AA3" w:rsidRPr="00760AA3" w:rsidRDefault="00760AA3" w:rsidP="00760AA3"/>
    <w:p w:rsidR="00760AA3" w:rsidRPr="00760AA3" w:rsidRDefault="00760AA3" w:rsidP="00760AA3"/>
    <w:p w:rsidR="00760AA3" w:rsidRPr="00760AA3" w:rsidRDefault="00760AA3" w:rsidP="00760AA3"/>
    <w:p w:rsidR="00760AA3" w:rsidRDefault="00760AA3" w:rsidP="00760AA3"/>
    <w:p w:rsidR="009018D4" w:rsidRDefault="00760AA3" w:rsidP="00760AA3">
      <w:pPr>
        <w:tabs>
          <w:tab w:val="left" w:pos="1455"/>
        </w:tabs>
      </w:pPr>
      <w:r>
        <w:tab/>
      </w:r>
    </w:p>
    <w:p w:rsidR="00760AA3" w:rsidRDefault="00760AA3" w:rsidP="00760AA3">
      <w:pPr>
        <w:tabs>
          <w:tab w:val="left" w:pos="1455"/>
        </w:tabs>
      </w:pPr>
    </w:p>
    <w:p w:rsidR="00760AA3" w:rsidRDefault="00760AA3" w:rsidP="00760AA3">
      <w:pPr>
        <w:tabs>
          <w:tab w:val="left" w:pos="1455"/>
        </w:tabs>
      </w:pPr>
    </w:p>
    <w:p w:rsidR="00760AA3" w:rsidRDefault="00760AA3" w:rsidP="00760AA3">
      <w:pPr>
        <w:tabs>
          <w:tab w:val="left" w:pos="1455"/>
        </w:tabs>
      </w:pPr>
    </w:p>
    <w:p w:rsidR="00760AA3" w:rsidRDefault="00760AA3" w:rsidP="00760AA3">
      <w:pPr>
        <w:pStyle w:val="Heading3"/>
        <w:jc w:val="left"/>
      </w:pPr>
    </w:p>
    <w:p w:rsidR="00760AA3" w:rsidRDefault="00760AA3" w:rsidP="00760AA3">
      <w:pPr>
        <w:pStyle w:val="Heading3"/>
        <w:jc w:val="left"/>
      </w:pPr>
    </w:p>
    <w:p w:rsidR="00760AA3" w:rsidRDefault="00760AA3" w:rsidP="00760AA3">
      <w:pPr>
        <w:pStyle w:val="Heading3"/>
        <w:jc w:val="left"/>
      </w:pPr>
      <w:r>
        <w:lastRenderedPageBreak/>
        <w:t xml:space="preserve">1.  </w:t>
      </w:r>
      <w:r w:rsidRPr="00EB06EA">
        <w:t>TRA Grant</w:t>
      </w:r>
      <w:r>
        <w:t>, continued</w:t>
      </w:r>
    </w:p>
    <w:p w:rsidR="00760AA3" w:rsidRDefault="00760AA3" w:rsidP="00760AA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018D4" w:rsidTr="00E42ADC">
        <w:trPr>
          <w:cantSplit/>
        </w:trPr>
        <w:tc>
          <w:tcPr>
            <w:tcW w:w="1728" w:type="dxa"/>
          </w:tcPr>
          <w:p w:rsidR="009018D4" w:rsidRDefault="004C6522" w:rsidP="00E42ADC">
            <w:pPr>
              <w:pStyle w:val="Heading5"/>
            </w:pPr>
            <w:r>
              <w:t>c. Statutory Maximum Grant A</w:t>
            </w:r>
            <w:r w:rsidR="009018D4">
              <w:t>mount</w:t>
            </w:r>
          </w:p>
        </w:tc>
        <w:tc>
          <w:tcPr>
            <w:tcW w:w="7740" w:type="dxa"/>
          </w:tcPr>
          <w:p w:rsidR="009018D4" w:rsidRDefault="009018D4" w:rsidP="00E42ADC">
            <w:pPr>
              <w:pStyle w:val="BlockText"/>
              <w:numPr>
                <w:ilvl w:val="12"/>
                <w:numId w:val="0"/>
              </w:numPr>
              <w:rPr>
                <w:szCs w:val="24"/>
              </w:rPr>
            </w:pPr>
            <w:r>
              <w:t>The statutory maximum grant amount for the TRA grant varies based on eligibility:</w:t>
            </w:r>
            <w:r w:rsidRPr="00FB7567">
              <w:rPr>
                <w:szCs w:val="24"/>
              </w:rPr>
              <w:t xml:space="preserve"> </w:t>
            </w:r>
          </w:p>
          <w:p w:rsidR="009018D4" w:rsidRDefault="009018D4" w:rsidP="00E42ADC">
            <w:pPr>
              <w:pStyle w:val="BlockText"/>
              <w:numPr>
                <w:ilvl w:val="12"/>
                <w:numId w:val="0"/>
              </w:numPr>
              <w:rPr>
                <w:szCs w:val="24"/>
              </w:rPr>
            </w:pPr>
          </w:p>
          <w:p w:rsidR="009018D4" w:rsidRDefault="009018D4" w:rsidP="009018D4">
            <w:pPr>
              <w:pStyle w:val="BlockText"/>
              <w:numPr>
                <w:ilvl w:val="0"/>
                <w:numId w:val="3"/>
              </w:numPr>
              <w:rPr>
                <w:szCs w:val="24"/>
              </w:rPr>
            </w:pPr>
            <w:r w:rsidRPr="001B6E5C">
              <w:rPr>
                <w:szCs w:val="24"/>
              </w:rPr>
              <w:t>TRA grant assistance for SAH cases is</w:t>
            </w:r>
            <w:r>
              <w:rPr>
                <w:szCs w:val="24"/>
              </w:rPr>
              <w:t xml:space="preserve"> currently</w:t>
            </w:r>
            <w:r w:rsidRPr="001B6E5C">
              <w:rPr>
                <w:szCs w:val="24"/>
              </w:rPr>
              <w:t xml:space="preserve"> </w:t>
            </w:r>
            <w:r>
              <w:rPr>
                <w:szCs w:val="24"/>
              </w:rPr>
              <w:t>$29,657.00.</w:t>
            </w:r>
          </w:p>
          <w:p w:rsidR="009018D4" w:rsidRPr="001B6E5C" w:rsidRDefault="009018D4" w:rsidP="009018D4">
            <w:pPr>
              <w:pStyle w:val="BlockText"/>
              <w:numPr>
                <w:ilvl w:val="0"/>
                <w:numId w:val="3"/>
              </w:numPr>
            </w:pPr>
            <w:r w:rsidRPr="001B6E5C">
              <w:rPr>
                <w:szCs w:val="24"/>
              </w:rPr>
              <w:t>TRA grant assistance for SHA cases is</w:t>
            </w:r>
            <w:r>
              <w:rPr>
                <w:szCs w:val="24"/>
              </w:rPr>
              <w:t xml:space="preserve"> currently</w:t>
            </w:r>
            <w:r w:rsidRPr="001B6E5C">
              <w:rPr>
                <w:szCs w:val="24"/>
              </w:rPr>
              <w:t xml:space="preserve"> $5,</w:t>
            </w:r>
            <w:r>
              <w:rPr>
                <w:szCs w:val="24"/>
              </w:rPr>
              <w:t>295.00.</w:t>
            </w:r>
            <w:r w:rsidRPr="001B6E5C">
              <w:rPr>
                <w:szCs w:val="24"/>
              </w:rPr>
              <w:t xml:space="preserve"> </w:t>
            </w:r>
          </w:p>
          <w:p w:rsidR="009018D4" w:rsidRDefault="009018D4" w:rsidP="00E42ADC">
            <w:pPr>
              <w:pStyle w:val="BlockText"/>
            </w:pPr>
          </w:p>
          <w:p w:rsidR="009018D4" w:rsidRDefault="009018D4" w:rsidP="00E42ADC">
            <w:pPr>
              <w:pStyle w:val="BlockText"/>
            </w:pPr>
            <w:r>
              <w:t>It is important to remember the following:</w:t>
            </w:r>
          </w:p>
          <w:p w:rsidR="009018D4" w:rsidRPr="001B6E5C" w:rsidRDefault="009018D4" w:rsidP="00E42ADC">
            <w:pPr>
              <w:pStyle w:val="BlockText"/>
              <w:rPr>
                <w:b/>
                <w:i/>
              </w:rPr>
            </w:pPr>
          </w:p>
          <w:p w:rsidR="009018D4" w:rsidRDefault="009018D4" w:rsidP="009018D4">
            <w:pPr>
              <w:pStyle w:val="BlockText"/>
              <w:numPr>
                <w:ilvl w:val="0"/>
                <w:numId w:val="4"/>
              </w:numPr>
            </w:pPr>
            <w:r>
              <w:t>Potential increases in the maximum TRA grant amounts are based on fluctuations in the designated construction cost index and are determined annually by the Secretary of</w:t>
            </w:r>
            <w:r w:rsidR="004C6522">
              <w:t xml:space="preserve"> the Department of Veterans Affairs</w:t>
            </w:r>
            <w:r>
              <w:t xml:space="preserve"> </w:t>
            </w:r>
            <w:r w:rsidR="004C6522">
              <w:t>(</w:t>
            </w:r>
            <w:r>
              <w:t>VA</w:t>
            </w:r>
            <w:r w:rsidR="004C6522">
              <w:t>)</w:t>
            </w:r>
            <w:r>
              <w:t>.  Grant amounts will not decrease from year to year</w:t>
            </w:r>
            <w:r w:rsidR="004C6522">
              <w:t>,</w:t>
            </w:r>
            <w:r>
              <w:t xml:space="preserve"> even if the index indicates a decrease in construction costs.</w:t>
            </w:r>
          </w:p>
          <w:p w:rsidR="009018D4" w:rsidRDefault="009018D4" w:rsidP="009018D4">
            <w:pPr>
              <w:pStyle w:val="BlockText"/>
              <w:numPr>
                <w:ilvl w:val="0"/>
                <w:numId w:val="4"/>
              </w:numPr>
            </w:pPr>
            <w:r>
              <w:t>Use of the TRA grant counts as one of the Veteran’s</w:t>
            </w:r>
            <w:r w:rsidR="004C6522">
              <w:t>,</w:t>
            </w:r>
            <w:r w:rsidR="00412A76">
              <w:t xml:space="preserve"> or S</w:t>
            </w:r>
            <w:r>
              <w:t>ervice</w:t>
            </w:r>
            <w:r w:rsidR="004C6522">
              <w:t>-</w:t>
            </w:r>
            <w:r>
              <w:t>member’s three authorized uses.</w:t>
            </w:r>
          </w:p>
          <w:p w:rsidR="009018D4" w:rsidRDefault="009018D4" w:rsidP="009018D4">
            <w:pPr>
              <w:pStyle w:val="BlockText"/>
              <w:numPr>
                <w:ilvl w:val="0"/>
                <w:numId w:val="4"/>
              </w:numPr>
            </w:pPr>
            <w:r w:rsidRPr="00511885">
              <w:rPr>
                <w:szCs w:val="24"/>
              </w:rPr>
              <w:t>TRA gran</w:t>
            </w:r>
            <w:r w:rsidR="004C6522">
              <w:rPr>
                <w:szCs w:val="24"/>
              </w:rPr>
              <w:t xml:space="preserve">ts approved on, or after, August 6, </w:t>
            </w:r>
            <w:r w:rsidRPr="00511885">
              <w:rPr>
                <w:szCs w:val="24"/>
              </w:rPr>
              <w:t>2013</w:t>
            </w:r>
            <w:r w:rsidR="004C6522">
              <w:rPr>
                <w:szCs w:val="24"/>
              </w:rPr>
              <w:t>,</w:t>
            </w:r>
            <w:r w:rsidRPr="00511885">
              <w:rPr>
                <w:szCs w:val="24"/>
              </w:rPr>
              <w:t xml:space="preserve"> will no longer be deducted from the maximum grant assistance available under e</w:t>
            </w:r>
            <w:r>
              <w:rPr>
                <w:szCs w:val="24"/>
              </w:rPr>
              <w:t>ach grant program</w:t>
            </w:r>
            <w:r w:rsidRPr="00511885">
              <w:rPr>
                <w:szCs w:val="24"/>
              </w:rPr>
              <w:t>.</w:t>
            </w:r>
            <w:r>
              <w:rPr>
                <w:szCs w:val="24"/>
              </w:rPr>
              <w:t xml:space="preserve">  It will still count as one of three authorized uses.</w:t>
            </w:r>
          </w:p>
          <w:p w:rsidR="009018D4" w:rsidRDefault="009018D4" w:rsidP="009018D4">
            <w:pPr>
              <w:pStyle w:val="BlockText"/>
              <w:numPr>
                <w:ilvl w:val="0"/>
                <w:numId w:val="4"/>
              </w:numPr>
            </w:pPr>
            <w:r>
              <w:rPr>
                <w:szCs w:val="24"/>
              </w:rPr>
              <w:t>VA’s authority to make</w:t>
            </w:r>
            <w:r w:rsidRPr="001B6E5C">
              <w:rPr>
                <w:szCs w:val="24"/>
              </w:rPr>
              <w:t xml:space="preserve"> TRA grants</w:t>
            </w:r>
            <w:r>
              <w:rPr>
                <w:szCs w:val="24"/>
              </w:rPr>
              <w:t xml:space="preserve"> runs</w:t>
            </w:r>
            <w:r w:rsidRPr="001B6E5C">
              <w:rPr>
                <w:szCs w:val="24"/>
              </w:rPr>
              <w:t xml:space="preserve"> through December 31, 2022</w:t>
            </w:r>
            <w:r>
              <w:rPr>
                <w:szCs w:val="24"/>
              </w:rPr>
              <w:t>.</w:t>
            </w:r>
          </w:p>
        </w:tc>
      </w:tr>
    </w:tbl>
    <w:p w:rsidR="009018D4" w:rsidRDefault="009018D4" w:rsidP="009018D4">
      <w:pPr>
        <w:pStyle w:val="BlockLine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018D4" w:rsidTr="00E42ADC">
        <w:trPr>
          <w:cantSplit/>
        </w:trPr>
        <w:tc>
          <w:tcPr>
            <w:tcW w:w="1728" w:type="dxa"/>
          </w:tcPr>
          <w:p w:rsidR="009018D4" w:rsidRDefault="009018D4" w:rsidP="00E42ADC">
            <w:pPr>
              <w:pStyle w:val="Heading5"/>
            </w:pPr>
            <w:r>
              <w:t xml:space="preserve">d. Definition of </w:t>
            </w:r>
            <w:r w:rsidR="004C6522">
              <w:t>a Family M</w:t>
            </w:r>
            <w:r>
              <w:t>ember</w:t>
            </w:r>
          </w:p>
        </w:tc>
        <w:tc>
          <w:tcPr>
            <w:tcW w:w="7740" w:type="dxa"/>
          </w:tcPr>
          <w:p w:rsidR="009018D4" w:rsidRDefault="009018D4" w:rsidP="00E42ADC">
            <w:pPr>
              <w:pStyle w:val="BlockText"/>
              <w:numPr>
                <w:ilvl w:val="12"/>
                <w:numId w:val="0"/>
              </w:numPr>
            </w:pPr>
            <w:r>
              <w:t xml:space="preserve">For TRA purposes, a </w:t>
            </w:r>
            <w:r>
              <w:rPr>
                <w:i/>
              </w:rPr>
              <w:t>family</w:t>
            </w:r>
            <w:r w:rsidRPr="00794028">
              <w:rPr>
                <w:i/>
              </w:rPr>
              <w:t xml:space="preserve"> member</w:t>
            </w:r>
            <w:r>
              <w:t xml:space="preserve"> is defined as a person related by:</w:t>
            </w:r>
          </w:p>
          <w:p w:rsidR="009018D4" w:rsidRDefault="009018D4" w:rsidP="00E42ADC">
            <w:pPr>
              <w:pStyle w:val="BlockText"/>
              <w:numPr>
                <w:ilvl w:val="12"/>
                <w:numId w:val="0"/>
              </w:numPr>
            </w:pPr>
          </w:p>
          <w:p w:rsidR="009018D4" w:rsidRDefault="00412A76" w:rsidP="009018D4">
            <w:pPr>
              <w:pStyle w:val="BlockText"/>
              <w:numPr>
                <w:ilvl w:val="0"/>
                <w:numId w:val="2"/>
              </w:numPr>
            </w:pPr>
            <w:r>
              <w:t>b</w:t>
            </w:r>
            <w:r w:rsidR="009018D4">
              <w:t>lood</w:t>
            </w:r>
            <w:r w:rsidR="004C6522">
              <w:t>,</w:t>
            </w:r>
          </w:p>
          <w:p w:rsidR="009018D4" w:rsidRDefault="009018D4" w:rsidP="009018D4">
            <w:pPr>
              <w:pStyle w:val="BlockText"/>
              <w:numPr>
                <w:ilvl w:val="0"/>
                <w:numId w:val="2"/>
              </w:numPr>
            </w:pPr>
            <w:r>
              <w:t>marriage, or</w:t>
            </w:r>
          </w:p>
          <w:p w:rsidR="009018D4" w:rsidRDefault="009018D4" w:rsidP="009018D4">
            <w:pPr>
              <w:pStyle w:val="BlockText"/>
              <w:numPr>
                <w:ilvl w:val="0"/>
                <w:numId w:val="2"/>
              </w:numPr>
            </w:pPr>
            <w:r>
              <w:t>adoption.</w:t>
            </w:r>
          </w:p>
        </w:tc>
      </w:tr>
    </w:tbl>
    <w:p w:rsidR="009018D4" w:rsidRDefault="009018D4" w:rsidP="009018D4">
      <w:pPr>
        <w:pStyle w:val="BlockLine"/>
        <w:numPr>
          <w:ilvl w:val="12"/>
          <w:numId w:val="0"/>
        </w:numPr>
        <w:ind w:left="1700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018D4" w:rsidTr="00E42ADC">
        <w:trPr>
          <w:cantSplit/>
        </w:trPr>
        <w:tc>
          <w:tcPr>
            <w:tcW w:w="1728" w:type="dxa"/>
          </w:tcPr>
          <w:p w:rsidR="009018D4" w:rsidRPr="00781EE4" w:rsidRDefault="009018D4" w:rsidP="00E42ADC">
            <w:pPr>
              <w:pStyle w:val="Heading6"/>
              <w:spacing w:before="0"/>
              <w:rPr>
                <w:b w:val="0"/>
                <w:i w:val="0"/>
                <w:szCs w:val="22"/>
              </w:rPr>
            </w:pPr>
            <w:r>
              <w:rPr>
                <w:i w:val="0"/>
                <w:color w:val="000000"/>
                <w:szCs w:val="22"/>
              </w:rPr>
              <w:t>e</w:t>
            </w:r>
            <w:r w:rsidRPr="00EB06EA">
              <w:rPr>
                <w:i w:val="0"/>
                <w:color w:val="000000"/>
                <w:szCs w:val="22"/>
              </w:rPr>
              <w:t>. Formula</w:t>
            </w:r>
          </w:p>
        </w:tc>
        <w:tc>
          <w:tcPr>
            <w:tcW w:w="7740" w:type="dxa"/>
          </w:tcPr>
          <w:p w:rsidR="009018D4" w:rsidRDefault="009018D4" w:rsidP="00E42ADC">
            <w:pPr>
              <w:pStyle w:val="BlockText"/>
              <w:numPr>
                <w:ilvl w:val="12"/>
                <w:numId w:val="0"/>
              </w:numPr>
            </w:pPr>
            <w:r>
              <w:t>The formula used when calculating the grant amount for TRA is:</w:t>
            </w:r>
          </w:p>
          <w:p w:rsidR="009018D4" w:rsidRDefault="009018D4" w:rsidP="00E42ADC">
            <w:pPr>
              <w:pStyle w:val="BlockText"/>
              <w:numPr>
                <w:ilvl w:val="12"/>
                <w:numId w:val="0"/>
              </w:numPr>
            </w:pPr>
          </w:p>
          <w:p w:rsidR="009018D4" w:rsidRPr="00187D95" w:rsidRDefault="009018D4" w:rsidP="00E42ADC">
            <w:pPr>
              <w:pStyle w:val="BlockText"/>
              <w:numPr>
                <w:ilvl w:val="12"/>
                <w:numId w:val="0"/>
              </w:numPr>
              <w:rPr>
                <w:i/>
              </w:rPr>
            </w:pPr>
            <w:r>
              <w:rPr>
                <w:i/>
              </w:rPr>
              <w:t>The Sum of the Cost of Each Adaptive Feature</w:t>
            </w:r>
          </w:p>
        </w:tc>
      </w:tr>
    </w:tbl>
    <w:p w:rsidR="009018D4" w:rsidRPr="004C6522" w:rsidRDefault="004C6522" w:rsidP="004C6522">
      <w:pPr>
        <w:pStyle w:val="BlockLine"/>
        <w:numPr>
          <w:ilvl w:val="12"/>
          <w:numId w:val="0"/>
        </w:numPr>
        <w:ind w:left="1700"/>
        <w:jc w:val="right"/>
        <w:rPr>
          <w:i/>
        </w:rPr>
      </w:pPr>
      <w:r>
        <w:rPr>
          <w:i/>
        </w:rPr>
        <w:t>Continued on next page</w:t>
      </w:r>
    </w:p>
    <w:p w:rsidR="004C6522" w:rsidRDefault="004C6522" w:rsidP="004C6522"/>
    <w:p w:rsidR="004C6522" w:rsidRDefault="004C6522" w:rsidP="004C6522"/>
    <w:p w:rsidR="004C6522" w:rsidRDefault="004C6522" w:rsidP="004C6522"/>
    <w:p w:rsidR="004C6522" w:rsidRDefault="004C6522" w:rsidP="004C6522"/>
    <w:p w:rsidR="004C6522" w:rsidRDefault="004C6522" w:rsidP="004C6522"/>
    <w:p w:rsidR="004C6522" w:rsidRDefault="004C6522" w:rsidP="004C6522"/>
    <w:p w:rsidR="004C6522" w:rsidRDefault="004C6522" w:rsidP="004C6522">
      <w:pPr>
        <w:pStyle w:val="Heading3"/>
        <w:jc w:val="left"/>
      </w:pPr>
    </w:p>
    <w:p w:rsidR="004C6522" w:rsidRDefault="004C6522" w:rsidP="004C6522">
      <w:pPr>
        <w:pStyle w:val="Heading3"/>
        <w:jc w:val="left"/>
      </w:pPr>
    </w:p>
    <w:p w:rsidR="004C6522" w:rsidRDefault="004C6522" w:rsidP="004C6522">
      <w:pPr>
        <w:pStyle w:val="Heading3"/>
        <w:jc w:val="left"/>
      </w:pPr>
      <w:r>
        <w:lastRenderedPageBreak/>
        <w:t xml:space="preserve">1.  </w:t>
      </w:r>
      <w:r w:rsidRPr="00EB06EA">
        <w:t>TRA Grant</w:t>
      </w:r>
      <w:r>
        <w:t>, continued</w:t>
      </w:r>
    </w:p>
    <w:p w:rsidR="004C6522" w:rsidRDefault="004C6522" w:rsidP="004C652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01"/>
        <w:gridCol w:w="878"/>
        <w:gridCol w:w="6670"/>
        <w:gridCol w:w="91"/>
      </w:tblGrid>
      <w:tr w:rsidR="009018D4" w:rsidTr="00E42ADC">
        <w:trPr>
          <w:cantSplit/>
        </w:trPr>
        <w:tc>
          <w:tcPr>
            <w:tcW w:w="1728" w:type="dxa"/>
          </w:tcPr>
          <w:p w:rsidR="009018D4" w:rsidRPr="00781EE4" w:rsidRDefault="009018D4" w:rsidP="00E42ADC">
            <w:pPr>
              <w:pStyle w:val="Heading6"/>
              <w:spacing w:before="0"/>
              <w:rPr>
                <w:b w:val="0"/>
                <w:i w:val="0"/>
                <w:szCs w:val="22"/>
              </w:rPr>
            </w:pPr>
            <w:r>
              <w:rPr>
                <w:i w:val="0"/>
                <w:color w:val="000000"/>
                <w:szCs w:val="22"/>
              </w:rPr>
              <w:t>f</w:t>
            </w:r>
            <w:r w:rsidRPr="00EB06EA">
              <w:rPr>
                <w:i w:val="0"/>
                <w:color w:val="000000"/>
                <w:szCs w:val="22"/>
              </w:rPr>
              <w:t xml:space="preserve">. Calculating the </w:t>
            </w:r>
            <w:r>
              <w:rPr>
                <w:i w:val="0"/>
                <w:color w:val="000000"/>
                <w:szCs w:val="22"/>
              </w:rPr>
              <w:t>g</w:t>
            </w:r>
            <w:r w:rsidRPr="00EB06EA">
              <w:rPr>
                <w:i w:val="0"/>
                <w:color w:val="000000"/>
                <w:szCs w:val="22"/>
              </w:rPr>
              <w:t xml:space="preserve">rant </w:t>
            </w:r>
            <w:r>
              <w:rPr>
                <w:i w:val="0"/>
                <w:color w:val="000000"/>
                <w:szCs w:val="22"/>
              </w:rPr>
              <w:t>a</w:t>
            </w:r>
            <w:r w:rsidRPr="00EB06EA">
              <w:rPr>
                <w:i w:val="0"/>
                <w:color w:val="000000"/>
                <w:szCs w:val="22"/>
              </w:rPr>
              <w:t>mount</w:t>
            </w:r>
          </w:p>
        </w:tc>
        <w:tc>
          <w:tcPr>
            <w:tcW w:w="7740" w:type="dxa"/>
            <w:gridSpan w:val="4"/>
          </w:tcPr>
          <w:p w:rsidR="009018D4" w:rsidRPr="003A502B" w:rsidRDefault="009018D4" w:rsidP="00E42ADC">
            <w:pPr>
              <w:pStyle w:val="BlockText"/>
              <w:numPr>
                <w:ilvl w:val="12"/>
                <w:numId w:val="0"/>
              </w:numPr>
            </w:pPr>
            <w:r>
              <w:t>Follow the steps in the table below to calculate the grant amount for TRA:</w:t>
            </w:r>
          </w:p>
        </w:tc>
      </w:tr>
      <w:tr w:rsidR="009018D4" w:rsidTr="00E42ADC">
        <w:trPr>
          <w:gridBefore w:val="2"/>
          <w:gridAfter w:val="1"/>
          <w:wBefore w:w="1829" w:type="dxa"/>
          <w:wAfter w:w="91" w:type="dxa"/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HeaderText"/>
              <w:numPr>
                <w:ilvl w:val="12"/>
                <w:numId w:val="0"/>
              </w:numPr>
            </w:pPr>
            <w:r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HeaderText"/>
              <w:numPr>
                <w:ilvl w:val="12"/>
                <w:numId w:val="0"/>
              </w:numPr>
            </w:pPr>
            <w:r>
              <w:t>Action</w:t>
            </w:r>
          </w:p>
        </w:tc>
      </w:tr>
      <w:tr w:rsidR="009018D4" w:rsidTr="00E42ADC">
        <w:trPr>
          <w:gridBefore w:val="2"/>
          <w:gridAfter w:val="1"/>
          <w:wBefore w:w="1829" w:type="dxa"/>
          <w:wAfter w:w="91" w:type="dxa"/>
          <w:cantSplit/>
        </w:trPr>
        <w:tc>
          <w:tcPr>
            <w:tcW w:w="7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Using the Formula</w:t>
            </w:r>
          </w:p>
        </w:tc>
      </w:tr>
      <w:tr w:rsidR="009018D4" w:rsidTr="00E42ADC">
        <w:trPr>
          <w:gridBefore w:val="2"/>
          <w:gridAfter w:val="1"/>
          <w:wBefore w:w="1829" w:type="dxa"/>
          <w:wAfter w:w="91" w:type="dxa"/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</w:pPr>
            <w:r>
              <w:t>Determine the cost of each adaptive feature.</w:t>
            </w:r>
          </w:p>
        </w:tc>
      </w:tr>
      <w:tr w:rsidR="009018D4" w:rsidTr="00E42ADC">
        <w:trPr>
          <w:gridBefore w:val="2"/>
          <w:gridAfter w:val="1"/>
          <w:wBefore w:w="1829" w:type="dxa"/>
          <w:wAfter w:w="91" w:type="dxa"/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</w:pPr>
            <w:r>
              <w:t>Add these values together.</w:t>
            </w:r>
          </w:p>
        </w:tc>
      </w:tr>
      <w:tr w:rsidR="009018D4" w:rsidTr="00E42ADC">
        <w:trPr>
          <w:gridBefore w:val="2"/>
          <w:gridAfter w:val="1"/>
          <w:wBefore w:w="1829" w:type="dxa"/>
          <w:wAfter w:w="91" w:type="dxa"/>
          <w:cantSplit/>
        </w:trPr>
        <w:tc>
          <w:tcPr>
            <w:tcW w:w="7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Determining the Grant Amount</w:t>
            </w:r>
          </w:p>
        </w:tc>
      </w:tr>
      <w:tr w:rsidR="009018D4" w:rsidTr="00E42ADC">
        <w:trPr>
          <w:gridBefore w:val="2"/>
          <w:gridAfter w:val="1"/>
          <w:wBefore w:w="1829" w:type="dxa"/>
          <w:wAfter w:w="91" w:type="dxa"/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D4" w:rsidRDefault="009018D4" w:rsidP="00E42ADC">
            <w:pPr>
              <w:pStyle w:val="TableText"/>
              <w:numPr>
                <w:ilvl w:val="12"/>
                <w:numId w:val="0"/>
              </w:numPr>
            </w:pPr>
            <w:r>
              <w:t>Is the calculated amount greater than the maximum grant amount?</w:t>
            </w:r>
          </w:p>
          <w:p w:rsidR="009018D4" w:rsidRDefault="009018D4" w:rsidP="009018D4">
            <w:pPr>
              <w:pStyle w:val="BulletText1"/>
              <w:numPr>
                <w:ilvl w:val="0"/>
                <w:numId w:val="2"/>
              </w:numPr>
            </w:pPr>
            <w:r>
              <w:t xml:space="preserve">If </w:t>
            </w:r>
            <w:r>
              <w:rPr>
                <w:i/>
              </w:rPr>
              <w:t>yes</w:t>
            </w:r>
            <w:r>
              <w:t>, use the maximum amount allowed as the grant amount.</w:t>
            </w:r>
          </w:p>
          <w:p w:rsidR="009018D4" w:rsidRDefault="009018D4" w:rsidP="009018D4">
            <w:pPr>
              <w:pStyle w:val="BulletText1"/>
              <w:numPr>
                <w:ilvl w:val="0"/>
                <w:numId w:val="2"/>
              </w:numPr>
            </w:pPr>
            <w:r>
              <w:t xml:space="preserve">If </w:t>
            </w:r>
            <w:r>
              <w:rPr>
                <w:i/>
              </w:rPr>
              <w:t>no</w:t>
            </w:r>
            <w:r>
              <w:t>, use the amount calculated in Step 1 as the grant amount.</w:t>
            </w:r>
          </w:p>
        </w:tc>
      </w:tr>
    </w:tbl>
    <w:p w:rsidR="009018D4" w:rsidRDefault="009018D4" w:rsidP="009018D4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018D4" w:rsidTr="00E42ADC">
        <w:trPr>
          <w:cantSplit/>
        </w:trPr>
        <w:tc>
          <w:tcPr>
            <w:tcW w:w="1728" w:type="dxa"/>
          </w:tcPr>
          <w:p w:rsidR="009018D4" w:rsidRDefault="004C6522" w:rsidP="00E42ADC">
            <w:pPr>
              <w:pStyle w:val="Heading5"/>
            </w:pPr>
            <w:r>
              <w:t>g. Direct R</w:t>
            </w:r>
            <w:r w:rsidR="009018D4">
              <w:t>eimbursement</w:t>
            </w:r>
          </w:p>
        </w:tc>
        <w:tc>
          <w:tcPr>
            <w:tcW w:w="7740" w:type="dxa"/>
          </w:tcPr>
          <w:p w:rsidR="009018D4" w:rsidRDefault="009018D4" w:rsidP="00E42ADC">
            <w:pPr>
              <w:rPr>
                <w:szCs w:val="24"/>
              </w:rPr>
            </w:pPr>
            <w:r>
              <w:t>In some cases, direct reimbursement to the Veteran, or the Veteran’s family member, for work completed prior to grant approval is acceptable.</w:t>
            </w:r>
            <w:r w:rsidRPr="00964CCA">
              <w:rPr>
                <w:szCs w:val="24"/>
              </w:rPr>
              <w:t xml:space="preserve">  </w:t>
            </w:r>
            <w:r>
              <w:rPr>
                <w:szCs w:val="24"/>
              </w:rPr>
              <w:t>However, a</w:t>
            </w:r>
            <w:r w:rsidRPr="00964CCA">
              <w:rPr>
                <w:szCs w:val="24"/>
              </w:rPr>
              <w:t>ll</w:t>
            </w:r>
            <w:r>
              <w:rPr>
                <w:szCs w:val="24"/>
              </w:rPr>
              <w:t xml:space="preserve"> of the regulatory requirements must be met for</w:t>
            </w:r>
            <w:r w:rsidRPr="00964CCA">
              <w:rPr>
                <w:szCs w:val="24"/>
              </w:rPr>
              <w:t xml:space="preserve"> final approval:</w:t>
            </w:r>
          </w:p>
          <w:p w:rsidR="009018D4" w:rsidRDefault="009018D4" w:rsidP="00E42ADC">
            <w:pPr>
              <w:rPr>
                <w:szCs w:val="24"/>
              </w:rPr>
            </w:pPr>
          </w:p>
          <w:p w:rsidR="009018D4" w:rsidRDefault="009018D4" w:rsidP="009018D4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964CCA">
              <w:rPr>
                <w:szCs w:val="24"/>
              </w:rPr>
              <w:t>he plans and specifications o</w:t>
            </w:r>
            <w:r>
              <w:rPr>
                <w:szCs w:val="24"/>
              </w:rPr>
              <w:t xml:space="preserve">f the proposed adaptations </w:t>
            </w:r>
            <w:r w:rsidRPr="004C6522">
              <w:rPr>
                <w:szCs w:val="24"/>
              </w:rPr>
              <w:t>must</w:t>
            </w:r>
            <w:r>
              <w:rPr>
                <w:szCs w:val="24"/>
              </w:rPr>
              <w:t xml:space="preserve"> </w:t>
            </w:r>
            <w:r w:rsidRPr="00964CCA">
              <w:rPr>
                <w:szCs w:val="24"/>
              </w:rPr>
              <w:t xml:space="preserve">demonstrate compliance with minimum property and design requirements of the </w:t>
            </w:r>
            <w:r>
              <w:rPr>
                <w:szCs w:val="24"/>
              </w:rPr>
              <w:t>SAH</w:t>
            </w:r>
            <w:r w:rsidRPr="00964CCA">
              <w:rPr>
                <w:szCs w:val="24"/>
              </w:rPr>
              <w:t xml:space="preserve"> program</w:t>
            </w:r>
            <w:r w:rsidR="00412A76">
              <w:rPr>
                <w:szCs w:val="24"/>
              </w:rPr>
              <w:t>.</w:t>
            </w:r>
            <w:r w:rsidRPr="00964CCA">
              <w:rPr>
                <w:szCs w:val="24"/>
              </w:rPr>
              <w:t xml:space="preserve"> </w:t>
            </w:r>
          </w:p>
          <w:p w:rsidR="009018D4" w:rsidRPr="00290B06" w:rsidRDefault="009018D4" w:rsidP="009018D4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290B06">
              <w:rPr>
                <w:szCs w:val="24"/>
              </w:rPr>
              <w:t>he family member must have an ownership interest in the housing unit</w:t>
            </w:r>
            <w:r>
              <w:rPr>
                <w:szCs w:val="24"/>
              </w:rPr>
              <w:t>, w</w:t>
            </w:r>
            <w:r w:rsidRPr="00290B06">
              <w:rPr>
                <w:szCs w:val="24"/>
              </w:rPr>
              <w:t xml:space="preserve">hich </w:t>
            </w:r>
            <w:r w:rsidRPr="004C6522">
              <w:rPr>
                <w:szCs w:val="24"/>
              </w:rPr>
              <w:t>must</w:t>
            </w:r>
            <w:r>
              <w:rPr>
                <w:szCs w:val="24"/>
              </w:rPr>
              <w:t xml:space="preserve"> </w:t>
            </w:r>
            <w:r w:rsidRPr="00290B06">
              <w:rPr>
                <w:szCs w:val="24"/>
              </w:rPr>
              <w:t xml:space="preserve">be determined by Regional Counsel, </w:t>
            </w:r>
            <w:r>
              <w:rPr>
                <w:szCs w:val="24"/>
              </w:rPr>
              <w:t>and</w:t>
            </w:r>
            <w:r w:rsidRPr="00290B06">
              <w:rPr>
                <w:szCs w:val="24"/>
              </w:rPr>
              <w:t xml:space="preserve"> the Veteran and the </w:t>
            </w:r>
            <w:r>
              <w:rPr>
                <w:szCs w:val="24"/>
              </w:rPr>
              <w:t xml:space="preserve">Veteran’s </w:t>
            </w:r>
            <w:r w:rsidRPr="00290B06">
              <w:rPr>
                <w:szCs w:val="24"/>
              </w:rPr>
              <w:t xml:space="preserve">family member </w:t>
            </w:r>
            <w:r w:rsidRPr="004C6522">
              <w:rPr>
                <w:szCs w:val="24"/>
              </w:rPr>
              <w:t>must</w:t>
            </w:r>
            <w:r w:rsidRPr="00290B06">
              <w:rPr>
                <w:szCs w:val="24"/>
              </w:rPr>
              <w:t xml:space="preserve"> sign a certification as to the likelihood of the Veteran’s temporary occupancy of such residence.</w:t>
            </w:r>
          </w:p>
          <w:p w:rsidR="009018D4" w:rsidRDefault="009018D4" w:rsidP="00E42ADC">
            <w:pPr>
              <w:pStyle w:val="ListParagraph"/>
              <w:ind w:left="0"/>
            </w:pPr>
          </w:p>
          <w:p w:rsidR="009018D4" w:rsidRPr="00964CCA" w:rsidRDefault="009018D4" w:rsidP="00E42ADC">
            <w:pPr>
              <w:pStyle w:val="ListParagraph"/>
              <w:ind w:left="0"/>
            </w:pPr>
            <w:r>
              <w:t xml:space="preserve">Because this is the Veteran’s benefit, </w:t>
            </w:r>
            <w:r w:rsidRPr="00964CCA">
              <w:t>the Veteran</w:t>
            </w:r>
            <w:r>
              <w:t xml:space="preserve"> </w:t>
            </w:r>
            <w:r w:rsidRPr="004C6522">
              <w:t>must</w:t>
            </w:r>
            <w:r>
              <w:t xml:space="preserve"> provide written authorization if the grant check is to be made payable to the Veteran’s family member</w:t>
            </w:r>
            <w:r w:rsidRPr="00964CCA">
              <w:t>.</w:t>
            </w:r>
          </w:p>
          <w:p w:rsidR="009018D4" w:rsidRPr="00964CCA" w:rsidRDefault="009018D4" w:rsidP="00E42ADC">
            <w:pPr>
              <w:rPr>
                <w:szCs w:val="24"/>
              </w:rPr>
            </w:pPr>
          </w:p>
          <w:p w:rsidR="009018D4" w:rsidRPr="004C6522" w:rsidRDefault="009018D4" w:rsidP="00E42ADC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Important:  </w:t>
            </w:r>
            <w:r>
              <w:rPr>
                <w:szCs w:val="24"/>
              </w:rPr>
              <w:t>D</w:t>
            </w:r>
            <w:r w:rsidRPr="00964CCA">
              <w:rPr>
                <w:szCs w:val="24"/>
              </w:rPr>
              <w:t xml:space="preserve">etailed information regarding the cost of </w:t>
            </w:r>
            <w:r>
              <w:rPr>
                <w:szCs w:val="24"/>
              </w:rPr>
              <w:t xml:space="preserve">the </w:t>
            </w:r>
            <w:r w:rsidRPr="00964CCA">
              <w:rPr>
                <w:szCs w:val="24"/>
              </w:rPr>
              <w:t>adaptations</w:t>
            </w:r>
            <w:r>
              <w:rPr>
                <w:szCs w:val="24"/>
              </w:rPr>
              <w:t xml:space="preserve"> (e.g. receipts, cancelled checks, invoices, and/or contracts)</w:t>
            </w:r>
            <w:r w:rsidRPr="00964CCA">
              <w:rPr>
                <w:szCs w:val="24"/>
              </w:rPr>
              <w:t xml:space="preserve"> </w:t>
            </w:r>
            <w:r w:rsidRPr="004C6522">
              <w:rPr>
                <w:szCs w:val="24"/>
              </w:rPr>
              <w:t>must</w:t>
            </w:r>
            <w:r>
              <w:rPr>
                <w:szCs w:val="24"/>
              </w:rPr>
              <w:t xml:space="preserve"> be provided </w:t>
            </w:r>
            <w:r w:rsidRPr="00964CCA">
              <w:rPr>
                <w:szCs w:val="24"/>
              </w:rPr>
              <w:t xml:space="preserve">in order to </w:t>
            </w:r>
            <w:r>
              <w:rPr>
                <w:szCs w:val="24"/>
              </w:rPr>
              <w:t xml:space="preserve">accurately </w:t>
            </w:r>
            <w:r w:rsidRPr="00964CCA">
              <w:rPr>
                <w:szCs w:val="24"/>
              </w:rPr>
              <w:t>determine</w:t>
            </w:r>
            <w:r>
              <w:rPr>
                <w:szCs w:val="24"/>
              </w:rPr>
              <w:t xml:space="preserve"> the grant amount.</w:t>
            </w:r>
            <w:r w:rsidRPr="00964CCA">
              <w:rPr>
                <w:szCs w:val="24"/>
              </w:rPr>
              <w:t xml:space="preserve">  </w:t>
            </w:r>
          </w:p>
          <w:p w:rsidR="009018D4" w:rsidRDefault="009018D4" w:rsidP="00E42ADC">
            <w:pPr>
              <w:rPr>
                <w:szCs w:val="24"/>
              </w:rPr>
            </w:pPr>
          </w:p>
          <w:p w:rsidR="009018D4" w:rsidRDefault="009018D4" w:rsidP="00412A76">
            <w:r w:rsidRPr="004C6522">
              <w:rPr>
                <w:b/>
                <w:i/>
                <w:szCs w:val="24"/>
              </w:rPr>
              <w:t>Note</w:t>
            </w:r>
            <w:r>
              <w:rPr>
                <w:b/>
                <w:szCs w:val="24"/>
              </w:rPr>
              <w:t xml:space="preserve">:  </w:t>
            </w:r>
            <w:r w:rsidR="004C6522">
              <w:rPr>
                <w:szCs w:val="24"/>
              </w:rPr>
              <w:t>The SAH A</w:t>
            </w:r>
            <w:r>
              <w:rPr>
                <w:szCs w:val="24"/>
              </w:rPr>
              <w:t xml:space="preserve">gent should </w:t>
            </w:r>
            <w:r w:rsidRPr="00964CCA">
              <w:rPr>
                <w:szCs w:val="24"/>
              </w:rPr>
              <w:t xml:space="preserve">encourage Veterans and their families to involve </w:t>
            </w:r>
            <w:r>
              <w:rPr>
                <w:szCs w:val="24"/>
              </w:rPr>
              <w:t>VA</w:t>
            </w:r>
            <w:r w:rsidRPr="00964CCA">
              <w:rPr>
                <w:szCs w:val="24"/>
              </w:rPr>
              <w:t xml:space="preserve"> in </w:t>
            </w:r>
            <w:r w:rsidR="00412A76">
              <w:rPr>
                <w:szCs w:val="24"/>
              </w:rPr>
              <w:t xml:space="preserve">the </w:t>
            </w:r>
            <w:r w:rsidRPr="00964CCA">
              <w:rPr>
                <w:szCs w:val="24"/>
              </w:rPr>
              <w:t xml:space="preserve">construction </w:t>
            </w:r>
            <w:r>
              <w:rPr>
                <w:szCs w:val="24"/>
              </w:rPr>
              <w:t xml:space="preserve">process </w:t>
            </w:r>
            <w:r w:rsidRPr="00964CCA">
              <w:rPr>
                <w:szCs w:val="24"/>
              </w:rPr>
              <w:t xml:space="preserve">on the front end, even </w:t>
            </w:r>
            <w:r>
              <w:rPr>
                <w:szCs w:val="24"/>
              </w:rPr>
              <w:t>with</w:t>
            </w:r>
            <w:r w:rsidRPr="00964CCA">
              <w:rPr>
                <w:szCs w:val="24"/>
              </w:rPr>
              <w:t xml:space="preserve"> TRA grants, </w:t>
            </w:r>
            <w:r>
              <w:rPr>
                <w:szCs w:val="24"/>
              </w:rPr>
              <w:t xml:space="preserve">to ensure that </w:t>
            </w:r>
            <w:r w:rsidR="009D705B">
              <w:rPr>
                <w:szCs w:val="24"/>
              </w:rPr>
              <w:t xml:space="preserve">MPRs </w:t>
            </w:r>
            <w:r>
              <w:rPr>
                <w:szCs w:val="24"/>
              </w:rPr>
              <w:t>a</w:t>
            </w:r>
            <w:r w:rsidRPr="00964CCA">
              <w:rPr>
                <w:szCs w:val="24"/>
              </w:rPr>
              <w:t>re met</w:t>
            </w:r>
            <w:r>
              <w:rPr>
                <w:szCs w:val="24"/>
              </w:rPr>
              <w:t xml:space="preserve">.  Direct reimbursements for TRA grants </w:t>
            </w:r>
            <w:r w:rsidRPr="00964CCA">
              <w:rPr>
                <w:szCs w:val="24"/>
              </w:rPr>
              <w:t xml:space="preserve">should be the exception rather than the </w:t>
            </w:r>
            <w:r>
              <w:rPr>
                <w:szCs w:val="24"/>
              </w:rPr>
              <w:t>norm</w:t>
            </w:r>
            <w:r w:rsidRPr="00964CCA">
              <w:rPr>
                <w:szCs w:val="24"/>
              </w:rPr>
              <w:t>.</w:t>
            </w:r>
          </w:p>
        </w:tc>
      </w:tr>
    </w:tbl>
    <w:p w:rsidR="009018D4" w:rsidRDefault="009018D4" w:rsidP="009018D4">
      <w:pPr>
        <w:pStyle w:val="BlockLine"/>
        <w:numPr>
          <w:ilvl w:val="12"/>
          <w:numId w:val="0"/>
        </w:numPr>
        <w:ind w:left="1700"/>
      </w:pPr>
      <w:r>
        <w:t xml:space="preserve"> </w:t>
      </w:r>
    </w:p>
    <w:p w:rsidR="000510E7" w:rsidRDefault="000434FD"/>
    <w:sectPr w:rsidR="000510E7" w:rsidSect="0080064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0D" w:rsidRDefault="009D705B">
      <w:r>
        <w:separator/>
      </w:r>
    </w:p>
  </w:endnote>
  <w:endnote w:type="continuationSeparator" w:id="0">
    <w:p w:rsidR="00D55D0D" w:rsidRDefault="009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5" w:rsidRDefault="00800645">
    <w:pPr>
      <w:pStyle w:val="Footer"/>
    </w:pPr>
    <w:r>
      <w:t>E-</w:t>
    </w:r>
    <w:sdt>
      <w:sdtPr>
        <w:id w:val="1090427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4F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800645" w:rsidRDefault="00800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5" w:rsidRDefault="00800645">
    <w:pPr>
      <w:pStyle w:val="Footer"/>
      <w:jc w:val="right"/>
    </w:pPr>
    <w:r>
      <w:t>E-</w:t>
    </w:r>
    <w:sdt>
      <w:sdtPr>
        <w:id w:val="19666239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4F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0645" w:rsidRDefault="0080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0D" w:rsidRDefault="009D705B">
      <w:r>
        <w:separator/>
      </w:r>
    </w:p>
  </w:footnote>
  <w:footnote w:type="continuationSeparator" w:id="0">
    <w:p w:rsidR="00D55D0D" w:rsidRDefault="009D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5" w:rsidRDefault="00800645" w:rsidP="00800645">
    <w:pPr>
      <w:pStyle w:val="Header"/>
      <w:tabs>
        <w:tab w:val="right" w:pos="9270"/>
      </w:tabs>
      <w:rPr>
        <w:i/>
        <w:iCs/>
        <w:szCs w:val="22"/>
      </w:rPr>
    </w:pPr>
    <w:r>
      <w:rPr>
        <w:i/>
        <w:iCs/>
      </w:rPr>
      <w:t xml:space="preserve">VA Manual 26-12, Revised </w:t>
    </w:r>
  </w:p>
  <w:p w:rsidR="00800645" w:rsidRDefault="00412A76" w:rsidP="00800645">
    <w:pPr>
      <w:pStyle w:val="Header"/>
      <w:rPr>
        <w:i/>
        <w:iCs/>
        <w:szCs w:val="22"/>
      </w:rPr>
    </w:pPr>
    <w:r>
      <w:rPr>
        <w:i/>
        <w:iCs/>
        <w:szCs w:val="22"/>
      </w:rPr>
      <w:t>Appendix E:</w:t>
    </w:r>
    <w:r w:rsidR="00800645">
      <w:rPr>
        <w:i/>
        <w:iCs/>
        <w:szCs w:val="22"/>
      </w:rPr>
      <w:t xml:space="preserve"> TRA Grant</w:t>
    </w:r>
  </w:p>
  <w:p w:rsidR="00800645" w:rsidRDefault="00800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4B" w:rsidRDefault="00800645" w:rsidP="004B2C7A">
    <w:pPr>
      <w:pStyle w:val="Header"/>
      <w:tabs>
        <w:tab w:val="right" w:pos="9270"/>
      </w:tabs>
      <w:jc w:val="right"/>
      <w:rPr>
        <w:i/>
        <w:iCs/>
        <w:szCs w:val="22"/>
      </w:rPr>
    </w:pPr>
    <w:r>
      <w:rPr>
        <w:i/>
        <w:iCs/>
      </w:rPr>
      <w:t xml:space="preserve">VA Manual </w:t>
    </w:r>
    <w:r w:rsidR="00C97CBF">
      <w:rPr>
        <w:i/>
        <w:iCs/>
      </w:rPr>
      <w:t>26-12</w:t>
    </w:r>
    <w:r>
      <w:rPr>
        <w:i/>
        <w:iCs/>
      </w:rPr>
      <w:t>, Revised</w:t>
    </w:r>
    <w:r w:rsidR="00C97CBF">
      <w:rPr>
        <w:i/>
        <w:iCs/>
      </w:rPr>
      <w:t xml:space="preserve"> </w:t>
    </w:r>
  </w:p>
  <w:p w:rsidR="00800645" w:rsidRPr="00800645" w:rsidRDefault="00800645" w:rsidP="00800645">
    <w:pPr>
      <w:pStyle w:val="Header"/>
      <w:jc w:val="right"/>
      <w:rPr>
        <w:i/>
        <w:iCs/>
        <w:szCs w:val="22"/>
      </w:rPr>
    </w:pPr>
    <w:r>
      <w:rPr>
        <w:i/>
        <w:iCs/>
        <w:szCs w:val="22"/>
      </w:rPr>
      <w:t>Appendix E</w:t>
    </w:r>
    <w:r w:rsidR="00412A76">
      <w:rPr>
        <w:i/>
        <w:iCs/>
        <w:szCs w:val="22"/>
      </w:rPr>
      <w:t>:</w:t>
    </w:r>
    <w:r w:rsidR="00C97CBF">
      <w:rPr>
        <w:i/>
        <w:iCs/>
        <w:szCs w:val="22"/>
      </w:rPr>
      <w:t xml:space="preserve"> </w:t>
    </w:r>
    <w:r>
      <w:rPr>
        <w:i/>
        <w:iCs/>
        <w:szCs w:val="22"/>
      </w:rPr>
      <w:t>TRA G</w:t>
    </w:r>
    <w:r w:rsidR="00C97CBF">
      <w:rPr>
        <w:i/>
        <w:iCs/>
        <w:szCs w:val="22"/>
      </w:rPr>
      <w:t>ran</w:t>
    </w:r>
    <w:r>
      <w:rPr>
        <w:i/>
        <w:iCs/>
        <w:szCs w:val="22"/>
      </w:rPr>
      <w:t>t</w:t>
    </w:r>
  </w:p>
  <w:p w:rsidR="00F01D4B" w:rsidRDefault="000434FD" w:rsidP="004B2C7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F35"/>
    <w:multiLevelType w:val="hybridMultilevel"/>
    <w:tmpl w:val="C35E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578C"/>
    <w:multiLevelType w:val="hybridMultilevel"/>
    <w:tmpl w:val="BC2EB3C0"/>
    <w:lvl w:ilvl="0" w:tplc="5B14916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66F5"/>
    <w:multiLevelType w:val="hybridMultilevel"/>
    <w:tmpl w:val="54A8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290"/>
    <w:multiLevelType w:val="singleLevel"/>
    <w:tmpl w:val="74904AB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49768B"/>
    <w:multiLevelType w:val="hybridMultilevel"/>
    <w:tmpl w:val="EC22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4"/>
    <w:rsid w:val="000434FD"/>
    <w:rsid w:val="000504E1"/>
    <w:rsid w:val="00065E02"/>
    <w:rsid w:val="00412A76"/>
    <w:rsid w:val="004C6522"/>
    <w:rsid w:val="00760AA3"/>
    <w:rsid w:val="00800645"/>
    <w:rsid w:val="009018D4"/>
    <w:rsid w:val="009A2567"/>
    <w:rsid w:val="009D705B"/>
    <w:rsid w:val="00A84E6B"/>
    <w:rsid w:val="00BF484B"/>
    <w:rsid w:val="00C97CBF"/>
    <w:rsid w:val="00CB50F5"/>
    <w:rsid w:val="00D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9018D4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8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9018D4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9018D4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Title Char"/>
    <w:basedOn w:val="DefaultParagraphFont"/>
    <w:link w:val="Heading3"/>
    <w:rsid w:val="009018D4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9018D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9018D4"/>
    <w:rPr>
      <w:rFonts w:ascii="Times New Roman" w:eastAsia="Times New Roman" w:hAnsi="Times New Roman" w:cs="Times New Roman"/>
      <w:b/>
      <w:i/>
      <w:szCs w:val="20"/>
    </w:rPr>
  </w:style>
  <w:style w:type="paragraph" w:customStyle="1" w:styleId="BlockLine">
    <w:name w:val="Block Line"/>
    <w:basedOn w:val="Normal"/>
    <w:next w:val="Normal"/>
    <w:rsid w:val="009018D4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9018D4"/>
  </w:style>
  <w:style w:type="paragraph" w:customStyle="1" w:styleId="TableHeaderText">
    <w:name w:val="Table Header Text"/>
    <w:basedOn w:val="TableText"/>
    <w:rsid w:val="009018D4"/>
    <w:pPr>
      <w:jc w:val="center"/>
    </w:pPr>
    <w:rPr>
      <w:b/>
    </w:rPr>
  </w:style>
  <w:style w:type="paragraph" w:customStyle="1" w:styleId="TableText">
    <w:name w:val="Table Text"/>
    <w:basedOn w:val="Normal"/>
    <w:rsid w:val="009018D4"/>
  </w:style>
  <w:style w:type="paragraph" w:customStyle="1" w:styleId="BulletText1">
    <w:name w:val="Bullet Text 1"/>
    <w:basedOn w:val="Normal"/>
    <w:rsid w:val="009018D4"/>
    <w:pPr>
      <w:numPr>
        <w:numId w:val="1"/>
      </w:numPr>
      <w:tabs>
        <w:tab w:val="left" w:pos="187"/>
      </w:tabs>
      <w:ind w:left="187" w:hanging="187"/>
    </w:pPr>
  </w:style>
  <w:style w:type="paragraph" w:styleId="Header">
    <w:name w:val="header"/>
    <w:basedOn w:val="Normal"/>
    <w:link w:val="HeaderChar"/>
    <w:rsid w:val="0090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8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18D4"/>
    <w:pPr>
      <w:ind w:left="720"/>
    </w:pPr>
    <w:rPr>
      <w:rFonts w:eastAsia="Calibr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8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6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9018D4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8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9018D4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9018D4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Title Char"/>
    <w:basedOn w:val="DefaultParagraphFont"/>
    <w:link w:val="Heading3"/>
    <w:rsid w:val="009018D4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9018D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9018D4"/>
    <w:rPr>
      <w:rFonts w:ascii="Times New Roman" w:eastAsia="Times New Roman" w:hAnsi="Times New Roman" w:cs="Times New Roman"/>
      <w:b/>
      <w:i/>
      <w:szCs w:val="20"/>
    </w:rPr>
  </w:style>
  <w:style w:type="paragraph" w:customStyle="1" w:styleId="BlockLine">
    <w:name w:val="Block Line"/>
    <w:basedOn w:val="Normal"/>
    <w:next w:val="Normal"/>
    <w:rsid w:val="009018D4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9018D4"/>
  </w:style>
  <w:style w:type="paragraph" w:customStyle="1" w:styleId="TableHeaderText">
    <w:name w:val="Table Header Text"/>
    <w:basedOn w:val="TableText"/>
    <w:rsid w:val="009018D4"/>
    <w:pPr>
      <w:jc w:val="center"/>
    </w:pPr>
    <w:rPr>
      <w:b/>
    </w:rPr>
  </w:style>
  <w:style w:type="paragraph" w:customStyle="1" w:styleId="TableText">
    <w:name w:val="Table Text"/>
    <w:basedOn w:val="Normal"/>
    <w:rsid w:val="009018D4"/>
  </w:style>
  <w:style w:type="paragraph" w:customStyle="1" w:styleId="BulletText1">
    <w:name w:val="Bullet Text 1"/>
    <w:basedOn w:val="Normal"/>
    <w:rsid w:val="009018D4"/>
    <w:pPr>
      <w:numPr>
        <w:numId w:val="1"/>
      </w:numPr>
      <w:tabs>
        <w:tab w:val="left" w:pos="187"/>
      </w:tabs>
      <w:ind w:left="187" w:hanging="187"/>
    </w:pPr>
  </w:style>
  <w:style w:type="paragraph" w:styleId="Header">
    <w:name w:val="header"/>
    <w:basedOn w:val="Normal"/>
    <w:link w:val="HeaderChar"/>
    <w:rsid w:val="00901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8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18D4"/>
    <w:pPr>
      <w:ind w:left="720"/>
    </w:pPr>
    <w:rPr>
      <w:rFonts w:eastAsia="Calibr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8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6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Melissa, VBAVACO</dc:creator>
  <cp:lastModifiedBy>Ricardo Da Silva</cp:lastModifiedBy>
  <cp:revision>2</cp:revision>
  <dcterms:created xsi:type="dcterms:W3CDTF">2014-02-19T19:23:00Z</dcterms:created>
  <dcterms:modified xsi:type="dcterms:W3CDTF">2014-02-19T19:23:00Z</dcterms:modified>
</cp:coreProperties>
</file>