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CB1" w:rsidRDefault="00117CB1">
      <w:pPr>
        <w:spacing w:before="69"/>
        <w:ind w:left="2310" w:right="1319" w:hanging="972"/>
        <w:rPr>
          <w:rFonts w:ascii="Arial"/>
          <w:b/>
          <w:color w:val="231F20"/>
          <w:sz w:val="36"/>
        </w:rPr>
      </w:pPr>
      <w:bookmarkStart w:id="0" w:name="_GoBack"/>
      <w:bookmarkEnd w:id="0"/>
    </w:p>
    <w:p w:rsidR="0004274C" w:rsidRDefault="00CA6361">
      <w:pPr>
        <w:spacing w:before="69"/>
        <w:ind w:left="2310" w:right="1319" w:hanging="972"/>
        <w:rPr>
          <w:rFonts w:ascii="Arial"/>
          <w:b/>
          <w:sz w:val="36"/>
        </w:rPr>
      </w:pPr>
      <w:r>
        <w:rPr>
          <w:rFonts w:ascii="Arial"/>
          <w:b/>
          <w:color w:val="231F20"/>
          <w:sz w:val="36"/>
        </w:rPr>
        <w:t>VA Modernized Decision Review System SOC/SSOC Opt-In Fact Sheet</w:t>
      </w:r>
    </w:p>
    <w:p w:rsidR="0004274C" w:rsidRPr="00117CB1" w:rsidRDefault="00CA6361">
      <w:pPr>
        <w:pStyle w:val="BodyText"/>
        <w:spacing w:before="253"/>
        <w:ind w:left="100" w:right="297"/>
        <w:rPr>
          <w:sz w:val="24"/>
          <w:szCs w:val="24"/>
        </w:rPr>
      </w:pPr>
      <w:r w:rsidRPr="00117CB1">
        <w:rPr>
          <w:color w:val="231F20"/>
          <w:sz w:val="24"/>
          <w:szCs w:val="24"/>
        </w:rPr>
        <w:t xml:space="preserve">The Department of Veterans Affairs (VA) continues to look for ways to put Veterans in control of how they receive services and interact with VA. On August 23, 2017, the President signed into law the </w:t>
      </w:r>
      <w:r w:rsidRPr="00117CB1">
        <w:rPr>
          <w:i/>
          <w:color w:val="231F20"/>
          <w:sz w:val="24"/>
          <w:szCs w:val="24"/>
        </w:rPr>
        <w:t xml:space="preserve">Veterans Appeals Improvement and Modernization Act of 2017 </w:t>
      </w:r>
      <w:r w:rsidRPr="00117CB1">
        <w:rPr>
          <w:color w:val="231F20"/>
          <w:sz w:val="24"/>
          <w:szCs w:val="24"/>
        </w:rPr>
        <w:t>(Appeals Modernization Act), creating a modernized review system for claims and appeals. The modernized appeals system took effect on February 19, 2019 and provides streamlined choices for seeking review of your VA claim decision.</w:t>
      </w:r>
    </w:p>
    <w:p w:rsidR="0004274C" w:rsidRPr="00117CB1" w:rsidRDefault="0004274C">
      <w:pPr>
        <w:pStyle w:val="BodyText"/>
        <w:spacing w:before="10"/>
        <w:rPr>
          <w:sz w:val="24"/>
          <w:szCs w:val="24"/>
        </w:rPr>
      </w:pPr>
    </w:p>
    <w:p w:rsidR="0004274C" w:rsidRPr="00117CB1" w:rsidRDefault="00CA6361">
      <w:pPr>
        <w:pStyle w:val="BodyText"/>
        <w:ind w:left="100" w:right="304"/>
        <w:rPr>
          <w:sz w:val="24"/>
          <w:szCs w:val="24"/>
        </w:rPr>
      </w:pPr>
      <w:r w:rsidRPr="00117CB1">
        <w:rPr>
          <w:color w:val="231F20"/>
          <w:sz w:val="24"/>
          <w:szCs w:val="24"/>
        </w:rPr>
        <w:t>The new law allows appellants with a legacy appeal an opportunity to withdraw from the legacy appeals process and enter the modernized appeals system. Upon receipt of a Statement of the Case (SOC) or Supplemental Statement of the Case (SSOC), you may elect to continue your appeal by seeking review under one of the new review options.</w:t>
      </w:r>
    </w:p>
    <w:p w:rsidR="0004274C" w:rsidRPr="00117CB1" w:rsidRDefault="0004274C">
      <w:pPr>
        <w:pStyle w:val="BodyText"/>
        <w:rPr>
          <w:sz w:val="24"/>
          <w:szCs w:val="24"/>
        </w:rPr>
      </w:pPr>
    </w:p>
    <w:p w:rsidR="0004274C" w:rsidRPr="00117CB1" w:rsidRDefault="00CA6361">
      <w:pPr>
        <w:pStyle w:val="BodyText"/>
        <w:ind w:left="100" w:right="634"/>
        <w:rPr>
          <w:sz w:val="24"/>
          <w:szCs w:val="24"/>
        </w:rPr>
      </w:pPr>
      <w:r w:rsidRPr="00117CB1">
        <w:rPr>
          <w:color w:val="231F20"/>
          <w:sz w:val="24"/>
          <w:szCs w:val="24"/>
        </w:rPr>
        <w:t>You are receiving this fact sheet because you are eligible to opt-in to the modernized appeals system based on the SOC/SSOC you received.</w:t>
      </w:r>
    </w:p>
    <w:p w:rsidR="0004274C" w:rsidRDefault="0004274C">
      <w:pPr>
        <w:pStyle w:val="BodyText"/>
        <w:spacing w:before="3"/>
      </w:pPr>
    </w:p>
    <w:p w:rsidR="0004274C" w:rsidRPr="00117CB1" w:rsidRDefault="00CA6361">
      <w:pPr>
        <w:pStyle w:val="Heading1"/>
        <w:rPr>
          <w:sz w:val="28"/>
          <w:szCs w:val="28"/>
        </w:rPr>
      </w:pPr>
      <w:r w:rsidRPr="00117CB1">
        <w:rPr>
          <w:color w:val="231F20"/>
          <w:sz w:val="28"/>
          <w:szCs w:val="28"/>
        </w:rPr>
        <w:t>What Is the Modernized Appeals System?</w:t>
      </w:r>
    </w:p>
    <w:p w:rsidR="0004274C" w:rsidRDefault="0004274C">
      <w:pPr>
        <w:pStyle w:val="BodyText"/>
        <w:spacing w:before="9"/>
        <w:rPr>
          <w:b/>
          <w:sz w:val="21"/>
        </w:rPr>
      </w:pPr>
    </w:p>
    <w:p w:rsidR="0004274C" w:rsidRPr="00117CB1" w:rsidRDefault="00CA6361">
      <w:pPr>
        <w:ind w:left="100" w:right="224"/>
        <w:rPr>
          <w:sz w:val="24"/>
          <w:szCs w:val="24"/>
        </w:rPr>
      </w:pPr>
      <w:r w:rsidRPr="00117CB1">
        <w:rPr>
          <w:color w:val="231F20"/>
          <w:sz w:val="24"/>
          <w:szCs w:val="24"/>
        </w:rPr>
        <w:t xml:space="preserve">The modernized appeals system gives claimants the opportunity to participate in the new </w:t>
      </w:r>
      <w:r w:rsidRPr="00117CB1">
        <w:rPr>
          <w:b/>
          <w:color w:val="231F20"/>
          <w:sz w:val="24"/>
          <w:szCs w:val="24"/>
        </w:rPr>
        <w:t xml:space="preserve">Supplemental Claim </w:t>
      </w:r>
      <w:r w:rsidRPr="00117CB1">
        <w:rPr>
          <w:color w:val="231F20"/>
          <w:sz w:val="24"/>
          <w:szCs w:val="24"/>
        </w:rPr>
        <w:t xml:space="preserve">and </w:t>
      </w:r>
      <w:r w:rsidRPr="00117CB1">
        <w:rPr>
          <w:b/>
          <w:color w:val="231F20"/>
          <w:sz w:val="24"/>
          <w:szCs w:val="24"/>
        </w:rPr>
        <w:t xml:space="preserve">Higher-Level Review </w:t>
      </w:r>
      <w:r w:rsidRPr="00117CB1">
        <w:rPr>
          <w:color w:val="231F20"/>
          <w:sz w:val="24"/>
          <w:szCs w:val="24"/>
        </w:rPr>
        <w:t xml:space="preserve">Lanes, or choose to file an </w:t>
      </w:r>
      <w:r w:rsidRPr="00117CB1">
        <w:rPr>
          <w:b/>
          <w:color w:val="231F20"/>
          <w:sz w:val="24"/>
          <w:szCs w:val="24"/>
        </w:rPr>
        <w:t>appeal directly to the Board of Veterans’ Appeals</w:t>
      </w:r>
      <w:r w:rsidRPr="00117CB1">
        <w:rPr>
          <w:color w:val="231F20"/>
          <w:sz w:val="24"/>
          <w:szCs w:val="24"/>
        </w:rPr>
        <w:t>.</w:t>
      </w:r>
    </w:p>
    <w:p w:rsidR="0004274C" w:rsidRPr="00117CB1" w:rsidRDefault="0004274C">
      <w:pPr>
        <w:pStyle w:val="BodyText"/>
        <w:spacing w:before="1"/>
        <w:rPr>
          <w:sz w:val="24"/>
          <w:szCs w:val="24"/>
        </w:rPr>
      </w:pPr>
    </w:p>
    <w:p w:rsidR="0004274C" w:rsidRDefault="00CA6361">
      <w:pPr>
        <w:pStyle w:val="BodyText"/>
        <w:ind w:left="100"/>
        <w:rPr>
          <w:color w:val="231F20"/>
          <w:sz w:val="24"/>
          <w:szCs w:val="24"/>
        </w:rPr>
      </w:pPr>
      <w:r w:rsidRPr="00117CB1">
        <w:rPr>
          <w:color w:val="231F20"/>
          <w:sz w:val="24"/>
          <w:szCs w:val="24"/>
        </w:rPr>
        <w:t>As a modernized appeals system participant, you will benefit from:</w:t>
      </w:r>
    </w:p>
    <w:p w:rsidR="00117CB1" w:rsidRPr="00117CB1" w:rsidRDefault="00117CB1">
      <w:pPr>
        <w:pStyle w:val="BodyText"/>
        <w:ind w:left="100"/>
        <w:rPr>
          <w:sz w:val="24"/>
          <w:szCs w:val="24"/>
        </w:rPr>
      </w:pPr>
    </w:p>
    <w:p w:rsidR="0004274C" w:rsidRPr="00117CB1" w:rsidRDefault="00CA6361" w:rsidP="00117CB1">
      <w:pPr>
        <w:pStyle w:val="ListParagraph"/>
        <w:numPr>
          <w:ilvl w:val="0"/>
          <w:numId w:val="1"/>
        </w:numPr>
        <w:tabs>
          <w:tab w:val="left" w:pos="501"/>
          <w:tab w:val="left" w:pos="502"/>
        </w:tabs>
        <w:spacing w:after="120"/>
        <w:ind w:left="504"/>
        <w:rPr>
          <w:sz w:val="24"/>
          <w:szCs w:val="24"/>
        </w:rPr>
      </w:pPr>
      <w:r w:rsidRPr="00117CB1">
        <w:rPr>
          <w:color w:val="231F20"/>
          <w:sz w:val="24"/>
          <w:szCs w:val="24"/>
        </w:rPr>
        <w:t>A new, more efficient review</w:t>
      </w:r>
      <w:r w:rsidRPr="00117CB1">
        <w:rPr>
          <w:color w:val="231F20"/>
          <w:spacing w:val="-25"/>
          <w:sz w:val="24"/>
          <w:szCs w:val="24"/>
        </w:rPr>
        <w:t xml:space="preserve"> </w:t>
      </w:r>
      <w:r w:rsidRPr="00117CB1">
        <w:rPr>
          <w:color w:val="231F20"/>
          <w:sz w:val="24"/>
          <w:szCs w:val="24"/>
        </w:rPr>
        <w:t>process</w:t>
      </w:r>
      <w:r w:rsidR="00117CB1">
        <w:rPr>
          <w:color w:val="231F20"/>
          <w:sz w:val="24"/>
          <w:szCs w:val="24"/>
        </w:rPr>
        <w:t>.</w:t>
      </w:r>
    </w:p>
    <w:p w:rsidR="0004274C" w:rsidRPr="00117CB1" w:rsidRDefault="00CA6361" w:rsidP="00117CB1">
      <w:pPr>
        <w:pStyle w:val="ListParagraph"/>
        <w:numPr>
          <w:ilvl w:val="0"/>
          <w:numId w:val="1"/>
        </w:numPr>
        <w:tabs>
          <w:tab w:val="left" w:pos="501"/>
          <w:tab w:val="left" w:pos="502"/>
        </w:tabs>
        <w:spacing w:after="120"/>
        <w:ind w:left="504"/>
        <w:rPr>
          <w:sz w:val="24"/>
          <w:szCs w:val="24"/>
        </w:rPr>
      </w:pPr>
      <w:r w:rsidRPr="00117CB1">
        <w:rPr>
          <w:color w:val="231F20"/>
          <w:sz w:val="24"/>
          <w:szCs w:val="24"/>
        </w:rPr>
        <w:t>Potentially faster decisions and early resolution of</w:t>
      </w:r>
      <w:r w:rsidRPr="00117CB1">
        <w:rPr>
          <w:color w:val="231F20"/>
          <w:spacing w:val="-18"/>
          <w:sz w:val="24"/>
          <w:szCs w:val="24"/>
        </w:rPr>
        <w:t xml:space="preserve"> </w:t>
      </w:r>
      <w:r w:rsidRPr="00117CB1">
        <w:rPr>
          <w:color w:val="231F20"/>
          <w:sz w:val="24"/>
          <w:szCs w:val="24"/>
        </w:rPr>
        <w:t>disagreements</w:t>
      </w:r>
      <w:r w:rsidR="00117CB1">
        <w:rPr>
          <w:color w:val="231F20"/>
          <w:sz w:val="24"/>
          <w:szCs w:val="24"/>
        </w:rPr>
        <w:t>.</w:t>
      </w:r>
    </w:p>
    <w:p w:rsidR="0004274C" w:rsidRPr="00117CB1" w:rsidRDefault="00CA6361" w:rsidP="00117CB1">
      <w:pPr>
        <w:pStyle w:val="ListParagraph"/>
        <w:numPr>
          <w:ilvl w:val="0"/>
          <w:numId w:val="1"/>
        </w:numPr>
        <w:tabs>
          <w:tab w:val="left" w:pos="501"/>
          <w:tab w:val="left" w:pos="502"/>
        </w:tabs>
        <w:spacing w:after="120"/>
        <w:ind w:left="504"/>
        <w:rPr>
          <w:sz w:val="24"/>
          <w:szCs w:val="24"/>
        </w:rPr>
      </w:pPr>
      <w:r w:rsidRPr="00117CB1">
        <w:rPr>
          <w:color w:val="231F20"/>
          <w:sz w:val="24"/>
          <w:szCs w:val="24"/>
        </w:rPr>
        <w:t>Multiple review</w:t>
      </w:r>
      <w:r w:rsidRPr="00117CB1">
        <w:rPr>
          <w:color w:val="231F20"/>
          <w:spacing w:val="-11"/>
          <w:sz w:val="24"/>
          <w:szCs w:val="24"/>
        </w:rPr>
        <w:t xml:space="preserve"> </w:t>
      </w:r>
      <w:r w:rsidRPr="00117CB1">
        <w:rPr>
          <w:color w:val="231F20"/>
          <w:sz w:val="24"/>
          <w:szCs w:val="24"/>
        </w:rPr>
        <w:t>options</w:t>
      </w:r>
      <w:r w:rsidR="00117CB1">
        <w:rPr>
          <w:color w:val="231F20"/>
          <w:sz w:val="24"/>
          <w:szCs w:val="24"/>
        </w:rPr>
        <w:t>.</w:t>
      </w:r>
    </w:p>
    <w:p w:rsidR="0004274C" w:rsidRPr="00117CB1" w:rsidRDefault="00CA6361" w:rsidP="00117CB1">
      <w:pPr>
        <w:pStyle w:val="ListParagraph"/>
        <w:numPr>
          <w:ilvl w:val="0"/>
          <w:numId w:val="1"/>
        </w:numPr>
        <w:tabs>
          <w:tab w:val="left" w:pos="501"/>
          <w:tab w:val="left" w:pos="502"/>
        </w:tabs>
        <w:spacing w:after="120"/>
        <w:ind w:left="504"/>
        <w:rPr>
          <w:sz w:val="24"/>
          <w:szCs w:val="24"/>
        </w:rPr>
      </w:pPr>
      <w:r w:rsidRPr="00117CB1">
        <w:rPr>
          <w:color w:val="231F20"/>
          <w:sz w:val="24"/>
          <w:szCs w:val="24"/>
        </w:rPr>
        <w:t>The same potential effective date for your benefits regardless of the review option that you</w:t>
      </w:r>
      <w:r w:rsidRPr="00117CB1">
        <w:rPr>
          <w:color w:val="231F20"/>
          <w:spacing w:val="-22"/>
          <w:sz w:val="24"/>
          <w:szCs w:val="24"/>
        </w:rPr>
        <w:t xml:space="preserve"> </w:t>
      </w:r>
      <w:r w:rsidRPr="00117CB1">
        <w:rPr>
          <w:color w:val="231F20"/>
          <w:sz w:val="24"/>
          <w:szCs w:val="24"/>
        </w:rPr>
        <w:t>choose</w:t>
      </w:r>
      <w:r w:rsidR="00117CB1">
        <w:rPr>
          <w:color w:val="231F20"/>
          <w:sz w:val="24"/>
          <w:szCs w:val="24"/>
        </w:rPr>
        <w:t>.</w:t>
      </w:r>
    </w:p>
    <w:p w:rsidR="0004274C" w:rsidRPr="00117CB1" w:rsidRDefault="0004274C">
      <w:pPr>
        <w:pStyle w:val="BodyText"/>
        <w:rPr>
          <w:sz w:val="24"/>
          <w:szCs w:val="24"/>
        </w:rPr>
      </w:pPr>
    </w:p>
    <w:p w:rsidR="0004274C" w:rsidRPr="00117CB1" w:rsidRDefault="00CA6361">
      <w:pPr>
        <w:pStyle w:val="Heading1"/>
        <w:rPr>
          <w:sz w:val="28"/>
          <w:szCs w:val="28"/>
        </w:rPr>
      </w:pPr>
      <w:r w:rsidRPr="00117CB1">
        <w:rPr>
          <w:color w:val="231F20"/>
          <w:sz w:val="28"/>
          <w:szCs w:val="28"/>
        </w:rPr>
        <w:t>Which Appeals are Eligible for the Modernized Appeals System?</w:t>
      </w:r>
    </w:p>
    <w:p w:rsidR="0004274C" w:rsidRPr="00117CB1" w:rsidRDefault="0004274C">
      <w:pPr>
        <w:pStyle w:val="BodyText"/>
        <w:spacing w:before="1"/>
        <w:rPr>
          <w:b/>
          <w:sz w:val="28"/>
          <w:szCs w:val="28"/>
        </w:rPr>
      </w:pPr>
    </w:p>
    <w:p w:rsidR="0004274C" w:rsidRPr="00117CB1" w:rsidRDefault="00CA6361">
      <w:pPr>
        <w:pStyle w:val="BodyText"/>
        <w:ind w:left="100" w:right="292"/>
        <w:rPr>
          <w:sz w:val="24"/>
          <w:szCs w:val="24"/>
        </w:rPr>
      </w:pPr>
      <w:r w:rsidRPr="00117CB1">
        <w:rPr>
          <w:color w:val="231F20"/>
          <w:sz w:val="24"/>
          <w:szCs w:val="24"/>
        </w:rPr>
        <w:t>You may opt-in to the modernized appeals system for any appeal currently in the legacy appeals process for which you have received a SOC/SSOC dated on or after February 19, 2019.</w:t>
      </w:r>
    </w:p>
    <w:p w:rsidR="0004274C" w:rsidRDefault="0004274C">
      <w:pPr>
        <w:pStyle w:val="BodyText"/>
        <w:spacing w:before="11"/>
        <w:rPr>
          <w:sz w:val="21"/>
        </w:rPr>
      </w:pPr>
    </w:p>
    <w:p w:rsidR="0004274C" w:rsidRPr="00117CB1" w:rsidRDefault="00CA6361">
      <w:pPr>
        <w:pStyle w:val="Heading1"/>
        <w:rPr>
          <w:sz w:val="28"/>
          <w:szCs w:val="28"/>
        </w:rPr>
      </w:pPr>
      <w:r w:rsidRPr="00117CB1">
        <w:rPr>
          <w:color w:val="231F20"/>
          <w:sz w:val="28"/>
          <w:szCs w:val="28"/>
        </w:rPr>
        <w:t>Which Review Option Is Right for You?</w:t>
      </w:r>
    </w:p>
    <w:p w:rsidR="0004274C" w:rsidRPr="00117CB1" w:rsidRDefault="0004274C">
      <w:pPr>
        <w:pStyle w:val="BodyText"/>
        <w:rPr>
          <w:b/>
          <w:sz w:val="28"/>
          <w:szCs w:val="28"/>
        </w:rPr>
      </w:pPr>
    </w:p>
    <w:p w:rsidR="0004274C" w:rsidRPr="00117CB1" w:rsidRDefault="00CA6361">
      <w:pPr>
        <w:ind w:left="100" w:right="138"/>
        <w:jc w:val="both"/>
        <w:rPr>
          <w:sz w:val="24"/>
          <w:szCs w:val="24"/>
        </w:rPr>
      </w:pPr>
      <w:r w:rsidRPr="00117CB1">
        <w:rPr>
          <w:color w:val="231F20"/>
          <w:sz w:val="24"/>
          <w:szCs w:val="24"/>
        </w:rPr>
        <w:t xml:space="preserve">See the enclosed document entitled </w:t>
      </w:r>
      <w:r w:rsidRPr="00117CB1">
        <w:rPr>
          <w:b/>
          <w:color w:val="231F20"/>
          <w:sz w:val="24"/>
          <w:szCs w:val="24"/>
        </w:rPr>
        <w:t xml:space="preserve">VA Form 20-0998, “Your Rights To Seek Further Review Of Our Decision” </w:t>
      </w:r>
      <w:r w:rsidRPr="00117CB1">
        <w:rPr>
          <w:color w:val="231F20"/>
          <w:sz w:val="24"/>
          <w:szCs w:val="24"/>
        </w:rPr>
        <w:t xml:space="preserve">regarding your options under the modernized appeals system. You can also find information on how to participate and the benefits of participating by visiting </w:t>
      </w:r>
      <w:hyperlink r:id="rId7">
        <w:r w:rsidRPr="00117CB1">
          <w:rPr>
            <w:color w:val="3953A4"/>
            <w:sz w:val="24"/>
            <w:szCs w:val="24"/>
            <w:u w:val="single" w:color="3953A4"/>
          </w:rPr>
          <w:t>http://va.gov/decision-reviews/</w:t>
        </w:r>
        <w:r w:rsidRPr="00117CB1">
          <w:rPr>
            <w:color w:val="231F20"/>
            <w:sz w:val="24"/>
            <w:szCs w:val="24"/>
          </w:rPr>
          <w:t>.</w:t>
        </w:r>
      </w:hyperlink>
    </w:p>
    <w:p w:rsidR="0004274C" w:rsidRDefault="0004274C">
      <w:pPr>
        <w:pStyle w:val="BodyText"/>
        <w:spacing w:before="10"/>
        <w:rPr>
          <w:sz w:val="12"/>
        </w:rPr>
      </w:pPr>
    </w:p>
    <w:p w:rsidR="00117CB1" w:rsidRDefault="00117CB1">
      <w:pPr>
        <w:pStyle w:val="Heading1"/>
        <w:spacing w:before="92"/>
        <w:rPr>
          <w:color w:val="231F20"/>
          <w:sz w:val="28"/>
          <w:szCs w:val="28"/>
        </w:rPr>
      </w:pPr>
    </w:p>
    <w:p w:rsidR="0004274C" w:rsidRPr="00117CB1" w:rsidRDefault="00CA6361">
      <w:pPr>
        <w:pStyle w:val="Heading1"/>
        <w:spacing w:before="92"/>
        <w:rPr>
          <w:sz w:val="28"/>
          <w:szCs w:val="28"/>
        </w:rPr>
      </w:pPr>
      <w:r w:rsidRPr="00117CB1">
        <w:rPr>
          <w:color w:val="231F20"/>
          <w:sz w:val="28"/>
          <w:szCs w:val="28"/>
        </w:rPr>
        <w:t>What It Means to Opt-In</w:t>
      </w:r>
    </w:p>
    <w:p w:rsidR="0004274C" w:rsidRPr="00117CB1" w:rsidRDefault="0004274C">
      <w:pPr>
        <w:pStyle w:val="BodyText"/>
        <w:rPr>
          <w:b/>
          <w:sz w:val="24"/>
          <w:szCs w:val="24"/>
        </w:rPr>
      </w:pPr>
    </w:p>
    <w:p w:rsidR="0004274C" w:rsidRPr="00117CB1" w:rsidRDefault="00CA6361">
      <w:pPr>
        <w:pStyle w:val="BodyText"/>
        <w:ind w:left="100" w:right="120"/>
        <w:rPr>
          <w:sz w:val="24"/>
          <w:szCs w:val="24"/>
        </w:rPr>
      </w:pPr>
      <w:r w:rsidRPr="00117CB1">
        <w:rPr>
          <w:color w:val="231F20"/>
          <w:sz w:val="24"/>
          <w:szCs w:val="24"/>
        </w:rPr>
        <w:t>If you choose to opt-in to the modernized appeals system, VA will process your claim under the review option(s) selected.  We will no longer process your appeal in the legacy process and you will not be able to</w:t>
      </w:r>
      <w:r w:rsidRPr="00117CB1">
        <w:rPr>
          <w:color w:val="231F20"/>
          <w:spacing w:val="-1"/>
          <w:sz w:val="24"/>
          <w:szCs w:val="24"/>
        </w:rPr>
        <w:t xml:space="preserve"> </w:t>
      </w:r>
      <w:r w:rsidRPr="00117CB1">
        <w:rPr>
          <w:color w:val="231F20"/>
          <w:sz w:val="24"/>
          <w:szCs w:val="24"/>
        </w:rPr>
        <w:t>request</w:t>
      </w:r>
      <w:r w:rsidRPr="00117CB1">
        <w:rPr>
          <w:color w:val="231F20"/>
          <w:spacing w:val="-9"/>
          <w:sz w:val="24"/>
          <w:szCs w:val="24"/>
        </w:rPr>
        <w:t xml:space="preserve"> </w:t>
      </w:r>
      <w:r w:rsidRPr="00117CB1">
        <w:rPr>
          <w:color w:val="231F20"/>
          <w:sz w:val="24"/>
          <w:szCs w:val="24"/>
        </w:rPr>
        <w:t>additional</w:t>
      </w:r>
      <w:r w:rsidRPr="00117CB1">
        <w:rPr>
          <w:color w:val="231F20"/>
          <w:spacing w:val="-12"/>
          <w:sz w:val="24"/>
          <w:szCs w:val="24"/>
        </w:rPr>
        <w:t xml:space="preserve"> </w:t>
      </w:r>
      <w:r w:rsidRPr="00117CB1">
        <w:rPr>
          <w:color w:val="231F20"/>
          <w:sz w:val="24"/>
          <w:szCs w:val="24"/>
        </w:rPr>
        <w:t>review</w:t>
      </w:r>
      <w:r w:rsidRPr="00117CB1">
        <w:rPr>
          <w:color w:val="231F20"/>
          <w:spacing w:val="-16"/>
          <w:sz w:val="24"/>
          <w:szCs w:val="24"/>
        </w:rPr>
        <w:t xml:space="preserve"> </w:t>
      </w:r>
      <w:r w:rsidRPr="00117CB1">
        <w:rPr>
          <w:color w:val="231F20"/>
          <w:sz w:val="24"/>
          <w:szCs w:val="24"/>
        </w:rPr>
        <w:t>of</w:t>
      </w:r>
      <w:r w:rsidRPr="00117CB1">
        <w:rPr>
          <w:color w:val="231F20"/>
          <w:spacing w:val="-2"/>
          <w:sz w:val="24"/>
          <w:szCs w:val="24"/>
        </w:rPr>
        <w:t xml:space="preserve"> </w:t>
      </w:r>
      <w:r w:rsidRPr="00117CB1">
        <w:rPr>
          <w:color w:val="231F20"/>
          <w:sz w:val="24"/>
          <w:szCs w:val="24"/>
        </w:rPr>
        <w:t>VA’s</w:t>
      </w:r>
      <w:r w:rsidRPr="00117CB1">
        <w:rPr>
          <w:color w:val="231F20"/>
          <w:spacing w:val="-9"/>
          <w:sz w:val="24"/>
          <w:szCs w:val="24"/>
        </w:rPr>
        <w:t xml:space="preserve"> </w:t>
      </w:r>
      <w:r w:rsidRPr="00117CB1">
        <w:rPr>
          <w:color w:val="231F20"/>
          <w:sz w:val="24"/>
          <w:szCs w:val="24"/>
        </w:rPr>
        <w:t>decision</w:t>
      </w:r>
      <w:r w:rsidRPr="00117CB1">
        <w:rPr>
          <w:color w:val="231F20"/>
          <w:spacing w:val="-11"/>
          <w:sz w:val="24"/>
          <w:szCs w:val="24"/>
        </w:rPr>
        <w:t xml:space="preserve"> </w:t>
      </w:r>
      <w:r w:rsidRPr="00117CB1">
        <w:rPr>
          <w:color w:val="231F20"/>
          <w:sz w:val="24"/>
          <w:szCs w:val="24"/>
        </w:rPr>
        <w:t>under</w:t>
      </w:r>
      <w:r w:rsidRPr="00117CB1">
        <w:rPr>
          <w:color w:val="231F20"/>
          <w:spacing w:val="-11"/>
          <w:sz w:val="24"/>
          <w:szCs w:val="24"/>
        </w:rPr>
        <w:t xml:space="preserve"> </w:t>
      </w:r>
      <w:r w:rsidRPr="00117CB1">
        <w:rPr>
          <w:color w:val="231F20"/>
          <w:sz w:val="24"/>
          <w:szCs w:val="24"/>
        </w:rPr>
        <w:t>the</w:t>
      </w:r>
      <w:r w:rsidRPr="00117CB1">
        <w:rPr>
          <w:color w:val="231F20"/>
          <w:spacing w:val="-13"/>
          <w:sz w:val="24"/>
          <w:szCs w:val="24"/>
        </w:rPr>
        <w:t xml:space="preserve"> </w:t>
      </w:r>
      <w:r w:rsidRPr="00117CB1">
        <w:rPr>
          <w:color w:val="231F20"/>
          <w:sz w:val="24"/>
          <w:szCs w:val="24"/>
        </w:rPr>
        <w:t>legacy</w:t>
      </w:r>
      <w:r w:rsidRPr="00117CB1">
        <w:rPr>
          <w:color w:val="231F20"/>
          <w:spacing w:val="-10"/>
          <w:sz w:val="24"/>
          <w:szCs w:val="24"/>
        </w:rPr>
        <w:t xml:space="preserve"> </w:t>
      </w:r>
      <w:r w:rsidRPr="00117CB1">
        <w:rPr>
          <w:color w:val="231F20"/>
          <w:sz w:val="24"/>
          <w:szCs w:val="24"/>
        </w:rPr>
        <w:t>appeals</w:t>
      </w:r>
      <w:r w:rsidRPr="00117CB1">
        <w:rPr>
          <w:color w:val="231F20"/>
          <w:spacing w:val="-7"/>
          <w:sz w:val="24"/>
          <w:szCs w:val="24"/>
        </w:rPr>
        <w:t xml:space="preserve"> </w:t>
      </w:r>
      <w:r w:rsidRPr="00117CB1">
        <w:rPr>
          <w:color w:val="231F20"/>
          <w:sz w:val="24"/>
          <w:szCs w:val="24"/>
        </w:rPr>
        <w:t>process.</w:t>
      </w:r>
      <w:r w:rsidRPr="00117CB1">
        <w:rPr>
          <w:color w:val="231F20"/>
          <w:spacing w:val="46"/>
          <w:sz w:val="24"/>
          <w:szCs w:val="24"/>
        </w:rPr>
        <w:t xml:space="preserve"> </w:t>
      </w:r>
      <w:r w:rsidRPr="00117CB1">
        <w:rPr>
          <w:color w:val="231F20"/>
          <w:sz w:val="24"/>
          <w:szCs w:val="24"/>
        </w:rPr>
        <w:t>You</w:t>
      </w:r>
      <w:r w:rsidRPr="00117CB1">
        <w:rPr>
          <w:color w:val="231F20"/>
          <w:spacing w:val="-1"/>
          <w:sz w:val="24"/>
          <w:szCs w:val="24"/>
        </w:rPr>
        <w:t xml:space="preserve"> </w:t>
      </w:r>
      <w:r w:rsidRPr="00117CB1">
        <w:rPr>
          <w:color w:val="231F20"/>
          <w:sz w:val="24"/>
          <w:szCs w:val="24"/>
        </w:rPr>
        <w:t>will have</w:t>
      </w:r>
      <w:r w:rsidRPr="00117CB1">
        <w:rPr>
          <w:color w:val="231F20"/>
          <w:spacing w:val="-1"/>
          <w:sz w:val="24"/>
          <w:szCs w:val="24"/>
        </w:rPr>
        <w:t xml:space="preserve"> </w:t>
      </w:r>
      <w:r w:rsidRPr="00117CB1">
        <w:rPr>
          <w:color w:val="231F20"/>
          <w:sz w:val="24"/>
          <w:szCs w:val="24"/>
        </w:rPr>
        <w:t>access</w:t>
      </w:r>
      <w:r w:rsidRPr="00117CB1">
        <w:rPr>
          <w:color w:val="231F20"/>
          <w:spacing w:val="-1"/>
          <w:sz w:val="24"/>
          <w:szCs w:val="24"/>
        </w:rPr>
        <w:t xml:space="preserve"> </w:t>
      </w:r>
      <w:r w:rsidRPr="00117CB1">
        <w:rPr>
          <w:color w:val="231F20"/>
          <w:sz w:val="24"/>
          <w:szCs w:val="24"/>
        </w:rPr>
        <w:t>to</w:t>
      </w:r>
      <w:r w:rsidRPr="00117CB1">
        <w:rPr>
          <w:color w:val="231F20"/>
          <w:spacing w:val="-4"/>
          <w:sz w:val="24"/>
          <w:szCs w:val="24"/>
        </w:rPr>
        <w:t xml:space="preserve"> </w:t>
      </w:r>
      <w:r w:rsidRPr="00117CB1">
        <w:rPr>
          <w:color w:val="231F20"/>
          <w:sz w:val="24"/>
          <w:szCs w:val="24"/>
        </w:rPr>
        <w:t>all the review options and benefits of the modernized appeals</w:t>
      </w:r>
      <w:r w:rsidRPr="00117CB1">
        <w:rPr>
          <w:color w:val="231F20"/>
          <w:spacing w:val="-4"/>
          <w:sz w:val="24"/>
          <w:szCs w:val="24"/>
        </w:rPr>
        <w:t xml:space="preserve"> </w:t>
      </w:r>
      <w:r w:rsidRPr="00117CB1">
        <w:rPr>
          <w:color w:val="231F20"/>
          <w:sz w:val="24"/>
          <w:szCs w:val="24"/>
        </w:rPr>
        <w:t>system.</w:t>
      </w:r>
    </w:p>
    <w:p w:rsidR="0004274C" w:rsidRPr="00117CB1" w:rsidRDefault="0004274C">
      <w:pPr>
        <w:pStyle w:val="BodyText"/>
        <w:rPr>
          <w:sz w:val="24"/>
          <w:szCs w:val="24"/>
        </w:rPr>
      </w:pPr>
    </w:p>
    <w:p w:rsidR="0004274C" w:rsidRPr="00117CB1" w:rsidRDefault="00CA6361">
      <w:pPr>
        <w:pStyle w:val="BodyText"/>
        <w:spacing w:before="1"/>
        <w:ind w:left="100" w:right="461"/>
        <w:rPr>
          <w:sz w:val="24"/>
          <w:szCs w:val="24"/>
        </w:rPr>
      </w:pPr>
      <w:r w:rsidRPr="00117CB1">
        <w:rPr>
          <w:color w:val="231F20"/>
          <w:sz w:val="24"/>
          <w:szCs w:val="24"/>
        </w:rPr>
        <w:t>Choosing one review option now does not prevent you from submitting another supplemental claim or choosing another review option after receiving a decision based on the chosen review option.</w:t>
      </w:r>
    </w:p>
    <w:p w:rsidR="0004274C" w:rsidRDefault="0004274C">
      <w:pPr>
        <w:pStyle w:val="BodyText"/>
        <w:spacing w:before="1"/>
      </w:pPr>
    </w:p>
    <w:p w:rsidR="0004274C" w:rsidRPr="00117CB1" w:rsidRDefault="00CA6361">
      <w:pPr>
        <w:pStyle w:val="Heading1"/>
        <w:rPr>
          <w:sz w:val="28"/>
          <w:szCs w:val="28"/>
        </w:rPr>
      </w:pPr>
      <w:r w:rsidRPr="00117CB1">
        <w:rPr>
          <w:color w:val="231F20"/>
          <w:sz w:val="28"/>
          <w:szCs w:val="28"/>
        </w:rPr>
        <w:t>How You Can Opt-In</w:t>
      </w:r>
    </w:p>
    <w:p w:rsidR="0004274C" w:rsidRPr="00117CB1" w:rsidRDefault="0004274C">
      <w:pPr>
        <w:pStyle w:val="BodyText"/>
        <w:spacing w:before="10"/>
        <w:rPr>
          <w:b/>
          <w:sz w:val="28"/>
          <w:szCs w:val="28"/>
        </w:rPr>
      </w:pPr>
    </w:p>
    <w:p w:rsidR="0004274C" w:rsidRPr="00117CB1" w:rsidRDefault="00CA6361" w:rsidP="00117CB1">
      <w:pPr>
        <w:pStyle w:val="BodyText"/>
        <w:ind w:left="100" w:right="316"/>
        <w:rPr>
          <w:sz w:val="24"/>
          <w:szCs w:val="24"/>
        </w:rPr>
      </w:pPr>
      <w:r w:rsidRPr="00117CB1">
        <w:rPr>
          <w:color w:val="231F20"/>
          <w:sz w:val="24"/>
          <w:szCs w:val="24"/>
        </w:rPr>
        <w:t>You can choose to have your appeal reviewed under one of the modernized appeals system options by completing the appropriate form for the review option you choose to participate in, as there is a separate</w:t>
      </w:r>
      <w:r w:rsidR="00117CB1" w:rsidRPr="00117CB1">
        <w:rPr>
          <w:color w:val="231F20"/>
          <w:sz w:val="24"/>
          <w:szCs w:val="24"/>
        </w:rPr>
        <w:t xml:space="preserve"> f</w:t>
      </w:r>
      <w:r w:rsidRPr="00117CB1">
        <w:rPr>
          <w:color w:val="231F20"/>
          <w:sz w:val="24"/>
          <w:szCs w:val="24"/>
        </w:rPr>
        <w:t xml:space="preserve">orm for each option. These forms can be found online at </w:t>
      </w:r>
      <w:hyperlink r:id="rId8">
        <w:r w:rsidRPr="00117CB1">
          <w:rPr>
            <w:color w:val="3953A4"/>
            <w:sz w:val="24"/>
            <w:szCs w:val="24"/>
            <w:u w:val="single" w:color="3953A4"/>
          </w:rPr>
          <w:t>www.va.gov/vaforms/</w:t>
        </w:r>
        <w:r w:rsidRPr="00117CB1">
          <w:rPr>
            <w:color w:val="231F20"/>
            <w:sz w:val="24"/>
            <w:szCs w:val="24"/>
          </w:rPr>
          <w:t>.</w:t>
        </w:r>
      </w:hyperlink>
      <w:r w:rsidRPr="00117CB1">
        <w:rPr>
          <w:color w:val="231F20"/>
          <w:sz w:val="24"/>
          <w:szCs w:val="24"/>
        </w:rPr>
        <w:t xml:space="preserve"> If you choose to participate in the modernized appeals system, you must </w:t>
      </w:r>
      <w:r w:rsidRPr="00117CB1">
        <w:rPr>
          <w:b/>
          <w:color w:val="231F20"/>
          <w:sz w:val="24"/>
          <w:szCs w:val="24"/>
          <w:u w:val="thick" w:color="231F20"/>
        </w:rPr>
        <w:t>submit your completed application form(s)</w:t>
      </w:r>
      <w:r w:rsidRPr="00117CB1">
        <w:rPr>
          <w:b/>
          <w:color w:val="231F20"/>
          <w:sz w:val="24"/>
          <w:szCs w:val="24"/>
        </w:rPr>
        <w:t xml:space="preserve"> </w:t>
      </w:r>
      <w:r w:rsidRPr="00117CB1">
        <w:rPr>
          <w:b/>
          <w:color w:val="231F20"/>
          <w:sz w:val="24"/>
          <w:szCs w:val="24"/>
          <w:u w:val="thick" w:color="231F20"/>
        </w:rPr>
        <w:t>within 60 days from the date of your SOC/SSOC or within the one year appeal period, whichever is</w:t>
      </w:r>
      <w:r w:rsidRPr="00117CB1">
        <w:rPr>
          <w:b/>
          <w:color w:val="231F20"/>
          <w:sz w:val="24"/>
          <w:szCs w:val="24"/>
        </w:rPr>
        <w:t xml:space="preserve"> </w:t>
      </w:r>
      <w:r w:rsidRPr="00117CB1">
        <w:rPr>
          <w:b/>
          <w:color w:val="231F20"/>
          <w:sz w:val="24"/>
          <w:szCs w:val="24"/>
          <w:u w:val="thick" w:color="231F20"/>
        </w:rPr>
        <w:t>later</w:t>
      </w:r>
      <w:r w:rsidRPr="00117CB1">
        <w:rPr>
          <w:color w:val="231F20"/>
          <w:sz w:val="24"/>
          <w:szCs w:val="24"/>
        </w:rPr>
        <w:t>.</w:t>
      </w:r>
    </w:p>
    <w:p w:rsidR="0004274C" w:rsidRPr="00117CB1" w:rsidRDefault="0004274C">
      <w:pPr>
        <w:pStyle w:val="BodyText"/>
        <w:spacing w:before="10"/>
        <w:rPr>
          <w:sz w:val="24"/>
          <w:szCs w:val="24"/>
        </w:rPr>
      </w:pPr>
    </w:p>
    <w:p w:rsidR="0004274C" w:rsidRPr="00117CB1" w:rsidRDefault="00CA6361">
      <w:pPr>
        <w:pStyle w:val="BodyText"/>
        <w:spacing w:before="91"/>
        <w:ind w:left="100" w:right="62"/>
        <w:rPr>
          <w:sz w:val="24"/>
          <w:szCs w:val="24"/>
        </w:rPr>
      </w:pPr>
      <w:r w:rsidRPr="00117CB1">
        <w:rPr>
          <w:color w:val="231F20"/>
          <w:sz w:val="24"/>
          <w:szCs w:val="24"/>
        </w:rPr>
        <w:t xml:space="preserve">Send the appropriate form to the address listed in your SOC/SSOC or to the appropriate address on the “Where to Send Correspondence” if provided. Please ensure the </w:t>
      </w:r>
      <w:r w:rsidRPr="00117CB1">
        <w:rPr>
          <w:b/>
          <w:color w:val="231F20"/>
          <w:sz w:val="24"/>
          <w:szCs w:val="24"/>
        </w:rPr>
        <w:t xml:space="preserve">SOC/SSOC Opt-in box </w:t>
      </w:r>
      <w:r w:rsidRPr="00117CB1">
        <w:rPr>
          <w:color w:val="231F20"/>
          <w:sz w:val="24"/>
          <w:szCs w:val="24"/>
        </w:rPr>
        <w:t>on the appropriate form(s) is checked</w:t>
      </w:r>
      <w:r w:rsidRPr="00117CB1">
        <w:rPr>
          <w:b/>
          <w:color w:val="231F20"/>
          <w:sz w:val="24"/>
          <w:szCs w:val="24"/>
        </w:rPr>
        <w:t xml:space="preserve">. </w:t>
      </w:r>
      <w:r w:rsidRPr="00117CB1">
        <w:rPr>
          <w:color w:val="231F20"/>
          <w:sz w:val="24"/>
          <w:szCs w:val="24"/>
        </w:rPr>
        <w:t>This block indicates that you are submitting your appeal as an opt-in from the legacy appeals process.</w:t>
      </w:r>
    </w:p>
    <w:p w:rsidR="0004274C" w:rsidRPr="00117CB1" w:rsidRDefault="0004274C">
      <w:pPr>
        <w:pStyle w:val="BodyText"/>
        <w:rPr>
          <w:sz w:val="24"/>
          <w:szCs w:val="24"/>
        </w:rPr>
      </w:pPr>
    </w:p>
    <w:p w:rsidR="0004274C" w:rsidRPr="00117CB1" w:rsidRDefault="00CA6361">
      <w:pPr>
        <w:pStyle w:val="BodyText"/>
        <w:ind w:left="100" w:right="297"/>
        <w:rPr>
          <w:sz w:val="24"/>
          <w:szCs w:val="24"/>
        </w:rPr>
      </w:pPr>
      <w:r w:rsidRPr="00117CB1">
        <w:rPr>
          <w:color w:val="231F20"/>
          <w:sz w:val="24"/>
          <w:szCs w:val="24"/>
        </w:rPr>
        <w:t>If you choose not to participate in in the modernized appeals system, you do not need to take any action. Your appeal(s) will remain in the legacy appeals process.</w:t>
      </w:r>
    </w:p>
    <w:sectPr w:rsidR="0004274C" w:rsidRPr="00117CB1">
      <w:headerReference w:type="default" r:id="rId9"/>
      <w:footerReference w:type="default" r:id="rId10"/>
      <w:pgSz w:w="12240" w:h="15840"/>
      <w:pgMar w:top="740" w:right="13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361" w:rsidRDefault="00CA6361" w:rsidP="00117CB1">
      <w:r>
        <w:separator/>
      </w:r>
    </w:p>
  </w:endnote>
  <w:endnote w:type="continuationSeparator" w:id="0">
    <w:p w:rsidR="00CA6361" w:rsidRDefault="00CA6361" w:rsidP="0011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CB1" w:rsidRPr="00117CB1" w:rsidRDefault="00117CB1">
    <w:pPr>
      <w:pStyle w:val="Footer"/>
      <w:jc w:val="center"/>
      <w:rPr>
        <w:rFonts w:ascii="Tahoma" w:hAnsi="Tahoma" w:cs="Tahoma"/>
        <w:b/>
        <w:sz w:val="20"/>
        <w:szCs w:val="20"/>
      </w:rPr>
    </w:pPr>
    <w:r w:rsidRPr="00117CB1">
      <w:rPr>
        <w:rFonts w:ascii="Tahoma" w:hAnsi="Tahoma" w:cs="Tahoma"/>
        <w:b/>
        <w:sz w:val="20"/>
        <w:szCs w:val="20"/>
      </w:rPr>
      <w:t>DE-</w:t>
    </w:r>
    <w:sdt>
      <w:sdtPr>
        <w:rPr>
          <w:rFonts w:ascii="Tahoma" w:hAnsi="Tahoma" w:cs="Tahoma"/>
          <w:b/>
          <w:sz w:val="20"/>
          <w:szCs w:val="20"/>
        </w:rPr>
        <w:id w:val="-1132017260"/>
        <w:docPartObj>
          <w:docPartGallery w:val="Page Numbers (Bottom of Page)"/>
          <w:docPartUnique/>
        </w:docPartObj>
      </w:sdtPr>
      <w:sdtEndPr>
        <w:rPr>
          <w:noProof/>
        </w:rPr>
      </w:sdtEndPr>
      <w:sdtContent>
        <w:r w:rsidRPr="00117CB1">
          <w:rPr>
            <w:rFonts w:ascii="Tahoma" w:hAnsi="Tahoma" w:cs="Tahoma"/>
            <w:b/>
            <w:sz w:val="20"/>
            <w:szCs w:val="20"/>
          </w:rPr>
          <w:fldChar w:fldCharType="begin"/>
        </w:r>
        <w:r w:rsidRPr="00117CB1">
          <w:rPr>
            <w:rFonts w:ascii="Tahoma" w:hAnsi="Tahoma" w:cs="Tahoma"/>
            <w:b/>
            <w:sz w:val="20"/>
            <w:szCs w:val="20"/>
          </w:rPr>
          <w:instrText xml:space="preserve"> PAGE   \* MERGEFORMAT </w:instrText>
        </w:r>
        <w:r w:rsidRPr="00117CB1">
          <w:rPr>
            <w:rFonts w:ascii="Tahoma" w:hAnsi="Tahoma" w:cs="Tahoma"/>
            <w:b/>
            <w:sz w:val="20"/>
            <w:szCs w:val="20"/>
          </w:rPr>
          <w:fldChar w:fldCharType="separate"/>
        </w:r>
        <w:r w:rsidR="00B90D1E">
          <w:rPr>
            <w:rFonts w:ascii="Tahoma" w:hAnsi="Tahoma" w:cs="Tahoma"/>
            <w:b/>
            <w:noProof/>
            <w:sz w:val="20"/>
            <w:szCs w:val="20"/>
          </w:rPr>
          <w:t>1</w:t>
        </w:r>
        <w:r w:rsidRPr="00117CB1">
          <w:rPr>
            <w:rFonts w:ascii="Tahoma" w:hAnsi="Tahoma" w:cs="Tahoma"/>
            <w:b/>
            <w:noProof/>
            <w:sz w:val="20"/>
            <w:szCs w:val="20"/>
          </w:rPr>
          <w:fldChar w:fldCharType="end"/>
        </w:r>
      </w:sdtContent>
    </w:sdt>
  </w:p>
  <w:p w:rsidR="00117CB1" w:rsidRDefault="0011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361" w:rsidRDefault="00CA6361" w:rsidP="00117CB1">
      <w:r>
        <w:separator/>
      </w:r>
    </w:p>
  </w:footnote>
  <w:footnote w:type="continuationSeparator" w:id="0">
    <w:p w:rsidR="00CA6361" w:rsidRDefault="00CA6361" w:rsidP="0011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CB1" w:rsidRPr="00117CB1" w:rsidRDefault="00117CB1">
    <w:pPr>
      <w:pStyle w:val="Header"/>
      <w:rPr>
        <w:rFonts w:ascii="Tahoma" w:hAnsi="Tahoma" w:cs="Tahoma"/>
        <w:b/>
        <w:sz w:val="20"/>
        <w:szCs w:val="20"/>
      </w:rPr>
    </w:pPr>
    <w:r w:rsidRPr="00117CB1">
      <w:rPr>
        <w:rFonts w:ascii="Tahoma" w:hAnsi="Tahoma" w:cs="Tahoma"/>
        <w:b/>
        <w:sz w:val="20"/>
        <w:szCs w:val="20"/>
      </w:rPr>
      <w:t>M28R, Appendix DE</w:t>
    </w:r>
    <w:r w:rsidRPr="00117CB1">
      <w:rPr>
        <w:rFonts w:ascii="Tahoma" w:hAnsi="Tahoma" w:cs="Tahoma"/>
        <w:b/>
        <w:sz w:val="20"/>
        <w:szCs w:val="20"/>
      </w:rPr>
      <w:tab/>
    </w:r>
    <w:r w:rsidRPr="00117CB1">
      <w:rPr>
        <w:rFonts w:ascii="Tahoma" w:hAnsi="Tahoma" w:cs="Tahoma"/>
        <w:b/>
        <w:sz w:val="20"/>
        <w:szCs w:val="20"/>
      </w:rPr>
      <w:tab/>
      <w:t>February 19,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F663E"/>
    <w:multiLevelType w:val="hybridMultilevel"/>
    <w:tmpl w:val="44524CAC"/>
    <w:lvl w:ilvl="0" w:tplc="F56CBFE0">
      <w:numFmt w:val="bullet"/>
      <w:lvlText w:val=""/>
      <w:lvlJc w:val="left"/>
      <w:pPr>
        <w:ind w:left="501" w:hanging="360"/>
      </w:pPr>
      <w:rPr>
        <w:rFonts w:ascii="Symbol" w:eastAsia="Symbol" w:hAnsi="Symbol" w:cs="Symbol" w:hint="default"/>
        <w:color w:val="231F20"/>
        <w:w w:val="100"/>
        <w:sz w:val="22"/>
        <w:szCs w:val="22"/>
      </w:rPr>
    </w:lvl>
    <w:lvl w:ilvl="1" w:tplc="AE8494C0">
      <w:numFmt w:val="bullet"/>
      <w:lvlText w:val="•"/>
      <w:lvlJc w:val="left"/>
      <w:pPr>
        <w:ind w:left="1410" w:hanging="360"/>
      </w:pPr>
      <w:rPr>
        <w:rFonts w:hint="default"/>
      </w:rPr>
    </w:lvl>
    <w:lvl w:ilvl="2" w:tplc="175EC406">
      <w:numFmt w:val="bullet"/>
      <w:lvlText w:val="•"/>
      <w:lvlJc w:val="left"/>
      <w:pPr>
        <w:ind w:left="2320" w:hanging="360"/>
      </w:pPr>
      <w:rPr>
        <w:rFonts w:hint="default"/>
      </w:rPr>
    </w:lvl>
    <w:lvl w:ilvl="3" w:tplc="92B6F1D2">
      <w:numFmt w:val="bullet"/>
      <w:lvlText w:val="•"/>
      <w:lvlJc w:val="left"/>
      <w:pPr>
        <w:ind w:left="3230" w:hanging="360"/>
      </w:pPr>
      <w:rPr>
        <w:rFonts w:hint="default"/>
      </w:rPr>
    </w:lvl>
    <w:lvl w:ilvl="4" w:tplc="9F6EC9BE">
      <w:numFmt w:val="bullet"/>
      <w:lvlText w:val="•"/>
      <w:lvlJc w:val="left"/>
      <w:pPr>
        <w:ind w:left="4140" w:hanging="360"/>
      </w:pPr>
      <w:rPr>
        <w:rFonts w:hint="default"/>
      </w:rPr>
    </w:lvl>
    <w:lvl w:ilvl="5" w:tplc="1AC8D98C">
      <w:numFmt w:val="bullet"/>
      <w:lvlText w:val="•"/>
      <w:lvlJc w:val="left"/>
      <w:pPr>
        <w:ind w:left="5050" w:hanging="360"/>
      </w:pPr>
      <w:rPr>
        <w:rFonts w:hint="default"/>
      </w:rPr>
    </w:lvl>
    <w:lvl w:ilvl="6" w:tplc="499C6EB4">
      <w:numFmt w:val="bullet"/>
      <w:lvlText w:val="•"/>
      <w:lvlJc w:val="left"/>
      <w:pPr>
        <w:ind w:left="5960" w:hanging="360"/>
      </w:pPr>
      <w:rPr>
        <w:rFonts w:hint="default"/>
      </w:rPr>
    </w:lvl>
    <w:lvl w:ilvl="7" w:tplc="83C23048">
      <w:numFmt w:val="bullet"/>
      <w:lvlText w:val="•"/>
      <w:lvlJc w:val="left"/>
      <w:pPr>
        <w:ind w:left="6870" w:hanging="360"/>
      </w:pPr>
      <w:rPr>
        <w:rFonts w:hint="default"/>
      </w:rPr>
    </w:lvl>
    <w:lvl w:ilvl="8" w:tplc="9B708FC0">
      <w:numFmt w:val="bullet"/>
      <w:lvlText w:val="•"/>
      <w:lvlJc w:val="left"/>
      <w:pPr>
        <w:ind w:left="77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4C"/>
    <w:rsid w:val="0004274C"/>
    <w:rsid w:val="00117CB1"/>
    <w:rsid w:val="00B90D1E"/>
    <w:rsid w:val="00CA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70F755-EDEA-4221-B381-6AD5807C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50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7CB1"/>
    <w:pPr>
      <w:tabs>
        <w:tab w:val="center" w:pos="4680"/>
        <w:tab w:val="right" w:pos="9360"/>
      </w:tabs>
    </w:pPr>
  </w:style>
  <w:style w:type="character" w:customStyle="1" w:styleId="HeaderChar">
    <w:name w:val="Header Char"/>
    <w:basedOn w:val="DefaultParagraphFont"/>
    <w:link w:val="Header"/>
    <w:uiPriority w:val="99"/>
    <w:rsid w:val="00117CB1"/>
    <w:rPr>
      <w:rFonts w:ascii="Times New Roman" w:eastAsia="Times New Roman" w:hAnsi="Times New Roman" w:cs="Times New Roman"/>
    </w:rPr>
  </w:style>
  <w:style w:type="paragraph" w:styleId="Footer">
    <w:name w:val="footer"/>
    <w:basedOn w:val="Normal"/>
    <w:link w:val="FooterChar"/>
    <w:uiPriority w:val="99"/>
    <w:unhideWhenUsed/>
    <w:rsid w:val="00117CB1"/>
    <w:pPr>
      <w:tabs>
        <w:tab w:val="center" w:pos="4680"/>
        <w:tab w:val="right" w:pos="9360"/>
      </w:tabs>
    </w:pPr>
  </w:style>
  <w:style w:type="character" w:customStyle="1" w:styleId="FooterChar">
    <w:name w:val="Footer Char"/>
    <w:basedOn w:val="DefaultParagraphFont"/>
    <w:link w:val="Footer"/>
    <w:uiPriority w:val="99"/>
    <w:rsid w:val="00117C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a.gov/vaforms/" TargetMode="External"/><Relationship Id="rId3" Type="http://schemas.openxmlformats.org/officeDocument/2006/relationships/settings" Target="settings.xml"/><Relationship Id="rId7" Type="http://schemas.openxmlformats.org/officeDocument/2006/relationships/hyperlink" Target="http://va.gov/decision-revi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SOC-SSOC Opt-in Fact Sheet.pdf</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SOC-SSOC Opt-in Fact Sheet.pdf</dc:title>
  <dc:creator>VRECHELL</dc:creator>
  <cp:lastModifiedBy>Dixson, Chiquita, VBAVACO</cp:lastModifiedBy>
  <cp:revision>2</cp:revision>
  <dcterms:created xsi:type="dcterms:W3CDTF">2019-02-19T17:34:00Z</dcterms:created>
  <dcterms:modified xsi:type="dcterms:W3CDTF">2019-02-19T17:34:00Z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2019-02-15T00:00:00Z</vt:filetime>
  </property>
</Properties>
</file>