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F6D0F" w14:textId="15897BF0" w:rsidR="005D07EB" w:rsidRPr="00DE1573" w:rsidRDefault="00571B07">
      <w:pPr>
        <w:pStyle w:val="Heading3"/>
      </w:pPr>
      <w:r w:rsidRPr="00DE1573">
        <w:t>Section I.</w:t>
      </w:r>
      <w:r w:rsidR="005D07EB" w:rsidRPr="00DE1573">
        <w:t xml:space="preserve">  </w:t>
      </w:r>
      <w:r w:rsidRPr="00DE1573">
        <w:t>Developing Claims for Service Connection (SC) Based on Other Exposure Types</w:t>
      </w:r>
    </w:p>
    <w:p w14:paraId="319F6D10" w14:textId="371BDE73" w:rsidR="005D07EB" w:rsidRPr="00DE1573" w:rsidRDefault="00571B07">
      <w:pPr>
        <w:pStyle w:val="Heading4"/>
      </w:pPr>
      <w:r w:rsidRPr="00DE1573">
        <w:t>Overview</w:t>
      </w:r>
    </w:p>
    <w:p w14:paraId="30DECA82" w14:textId="4F2ADF00" w:rsidR="00571B07" w:rsidRPr="00DE1573" w:rsidRDefault="00571B07" w:rsidP="00571B07">
      <w:pPr>
        <w:tabs>
          <w:tab w:val="left" w:pos="9360"/>
        </w:tabs>
        <w:ind w:left="1714"/>
      </w:pPr>
      <w:bookmarkStart w:id="0" w:name="_GoBack"/>
      <w:bookmarkEnd w:id="0"/>
      <w:r w:rsidRPr="00DE1573">
        <w:rPr>
          <w:u w:val="single"/>
        </w:rPr>
        <w:tab/>
      </w:r>
    </w:p>
    <w:p w14:paraId="7C1AD69C" w14:textId="093A6F65" w:rsidR="00571B07" w:rsidRPr="00DE1573" w:rsidRDefault="00571B07" w:rsidP="00571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571B07" w:rsidRPr="00DE1573" w14:paraId="38BA9E03" w14:textId="77777777" w:rsidTr="008F432D">
        <w:tc>
          <w:tcPr>
            <w:tcW w:w="1728" w:type="dxa"/>
            <w:shd w:val="clear" w:color="auto" w:fill="auto"/>
          </w:tcPr>
          <w:p w14:paraId="637B2B64" w14:textId="016099FB" w:rsidR="00571B07" w:rsidRPr="00DE1573" w:rsidRDefault="009A6BE8" w:rsidP="00571B07">
            <w:pPr>
              <w:rPr>
                <w:b/>
                <w:sz w:val="22"/>
              </w:rPr>
            </w:pPr>
            <w:r w:rsidRPr="00DE1573">
              <w:rPr>
                <w:b/>
                <w:sz w:val="22"/>
              </w:rPr>
              <w:t>In T</w:t>
            </w:r>
            <w:r w:rsidR="00571B07" w:rsidRPr="00DE1573">
              <w:rPr>
                <w:b/>
                <w:sz w:val="22"/>
              </w:rPr>
              <w:t>his Section</w:t>
            </w:r>
          </w:p>
        </w:tc>
        <w:tc>
          <w:tcPr>
            <w:tcW w:w="7740" w:type="dxa"/>
            <w:shd w:val="clear" w:color="auto" w:fill="auto"/>
          </w:tcPr>
          <w:p w14:paraId="073C8B5A" w14:textId="3AAD497A" w:rsidR="00571B07" w:rsidRPr="00DE1573" w:rsidRDefault="00571B07" w:rsidP="00571B07">
            <w:r w:rsidRPr="00DE1573">
              <w:t>This section contains the following topics:</w:t>
            </w:r>
          </w:p>
        </w:tc>
      </w:tr>
    </w:tbl>
    <w:p w14:paraId="48AD4907" w14:textId="3AD75E1F" w:rsidR="00571B07" w:rsidRPr="00DE1573" w:rsidRDefault="00571B07" w:rsidP="00571B07"/>
    <w:tbl>
      <w:tblPr>
        <w:tblW w:w="0" w:type="auto"/>
        <w:tblInd w:w="1800" w:type="dxa"/>
        <w:tblLayout w:type="fixed"/>
        <w:tblCellMar>
          <w:left w:w="80" w:type="dxa"/>
          <w:right w:w="80" w:type="dxa"/>
        </w:tblCellMar>
        <w:tblLook w:val="0000" w:firstRow="0" w:lastRow="0" w:firstColumn="0" w:lastColumn="0" w:noHBand="0" w:noVBand="0"/>
      </w:tblPr>
      <w:tblGrid>
        <w:gridCol w:w="1296"/>
        <w:gridCol w:w="6344"/>
      </w:tblGrid>
      <w:tr w:rsidR="008F432D" w:rsidRPr="00DE1573" w14:paraId="71F559D0"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4E856EC3" w14:textId="31F4DF18" w:rsidR="008F432D" w:rsidRPr="00DE1573" w:rsidRDefault="008F432D" w:rsidP="009A6BE8">
            <w:pPr>
              <w:jc w:val="center"/>
              <w:rPr>
                <w:b/>
              </w:rPr>
            </w:pPr>
            <w:r w:rsidRPr="00DE1573">
              <w:rPr>
                <w:b/>
              </w:rPr>
              <w:t>Topic</w:t>
            </w:r>
          </w:p>
        </w:tc>
        <w:tc>
          <w:tcPr>
            <w:tcW w:w="6344" w:type="dxa"/>
            <w:tcBorders>
              <w:top w:val="single" w:sz="6" w:space="0" w:color="auto"/>
              <w:left w:val="single" w:sz="6" w:space="0" w:color="auto"/>
              <w:bottom w:val="single" w:sz="6" w:space="0" w:color="auto"/>
              <w:right w:val="single" w:sz="6" w:space="0" w:color="auto"/>
            </w:tcBorders>
          </w:tcPr>
          <w:p w14:paraId="6FF7012F" w14:textId="5C4A9589" w:rsidR="008F432D" w:rsidRPr="00DE1573" w:rsidRDefault="008F432D" w:rsidP="009A6BE8">
            <w:pPr>
              <w:jc w:val="center"/>
              <w:rPr>
                <w:b/>
              </w:rPr>
            </w:pPr>
            <w:r w:rsidRPr="00DE1573">
              <w:rPr>
                <w:b/>
              </w:rPr>
              <w:t>Topic Name</w:t>
            </w:r>
          </w:p>
        </w:tc>
      </w:tr>
      <w:tr w:rsidR="008F432D" w:rsidRPr="00DE1573" w14:paraId="136F25CD"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6C83766C" w14:textId="2202121F" w:rsidR="008F432D" w:rsidRPr="00DE1573" w:rsidRDefault="008F432D" w:rsidP="009A6BE8">
            <w:pPr>
              <w:jc w:val="center"/>
            </w:pPr>
            <w:r w:rsidRPr="00DE1573">
              <w:t>1</w:t>
            </w:r>
          </w:p>
        </w:tc>
        <w:tc>
          <w:tcPr>
            <w:tcW w:w="6344" w:type="dxa"/>
            <w:tcBorders>
              <w:top w:val="single" w:sz="6" w:space="0" w:color="auto"/>
              <w:left w:val="single" w:sz="6" w:space="0" w:color="auto"/>
              <w:bottom w:val="single" w:sz="6" w:space="0" w:color="auto"/>
              <w:right w:val="single" w:sz="6" w:space="0" w:color="auto"/>
            </w:tcBorders>
          </w:tcPr>
          <w:p w14:paraId="0A6302CD" w14:textId="12D9B0C2" w:rsidR="008F432D" w:rsidRPr="00DE1573" w:rsidRDefault="008F432D" w:rsidP="008F432D">
            <w:r w:rsidRPr="00DE1573">
              <w:t>Developing Claims for SC for Positive Tuberculin Reactions</w:t>
            </w:r>
          </w:p>
        </w:tc>
      </w:tr>
      <w:tr w:rsidR="008F432D" w:rsidRPr="00DE1573" w14:paraId="31AF30F1"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2A09ED36" w14:textId="736D6F2C" w:rsidR="008F432D" w:rsidRPr="00DE1573" w:rsidRDefault="008F432D" w:rsidP="009A6BE8">
            <w:pPr>
              <w:jc w:val="center"/>
            </w:pPr>
            <w:r w:rsidRPr="00DE1573">
              <w:t>2</w:t>
            </w:r>
          </w:p>
        </w:tc>
        <w:tc>
          <w:tcPr>
            <w:tcW w:w="6344" w:type="dxa"/>
            <w:tcBorders>
              <w:top w:val="single" w:sz="6" w:space="0" w:color="auto"/>
              <w:left w:val="single" w:sz="6" w:space="0" w:color="auto"/>
              <w:bottom w:val="single" w:sz="6" w:space="0" w:color="auto"/>
              <w:right w:val="single" w:sz="6" w:space="0" w:color="auto"/>
            </w:tcBorders>
          </w:tcPr>
          <w:p w14:paraId="59DDEBE2" w14:textId="4CA74EC1" w:rsidR="008F432D" w:rsidRPr="00DE1573" w:rsidRDefault="008F432D" w:rsidP="008F432D">
            <w:r w:rsidRPr="00DE1573">
              <w:t>Developing Claims for SC for Chronic or Tropical Diseases</w:t>
            </w:r>
          </w:p>
        </w:tc>
      </w:tr>
      <w:tr w:rsidR="008F432D" w:rsidRPr="00DE1573" w14:paraId="5B44C951"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4520D27E" w14:textId="0F61CAFE" w:rsidR="008F432D" w:rsidRPr="00DE1573" w:rsidRDefault="008F432D" w:rsidP="009A6BE8">
            <w:pPr>
              <w:jc w:val="center"/>
            </w:pPr>
            <w:r w:rsidRPr="00DE1573">
              <w:t>3</w:t>
            </w:r>
          </w:p>
        </w:tc>
        <w:tc>
          <w:tcPr>
            <w:tcW w:w="6344" w:type="dxa"/>
            <w:tcBorders>
              <w:top w:val="single" w:sz="6" w:space="0" w:color="auto"/>
              <w:left w:val="single" w:sz="6" w:space="0" w:color="auto"/>
              <w:bottom w:val="single" w:sz="6" w:space="0" w:color="auto"/>
              <w:right w:val="single" w:sz="6" w:space="0" w:color="auto"/>
            </w:tcBorders>
          </w:tcPr>
          <w:p w14:paraId="173805D7" w14:textId="7076D40A" w:rsidR="008F432D" w:rsidRPr="00DE1573" w:rsidRDefault="008F432D" w:rsidP="008F432D">
            <w:r w:rsidRPr="00DE1573">
              <w:t>Developing Claims for SC for Asbestos-Related Diseases</w:t>
            </w:r>
          </w:p>
        </w:tc>
      </w:tr>
      <w:tr w:rsidR="008F432D" w:rsidRPr="00DE1573" w14:paraId="6D55950E"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78EC1BD0" w14:textId="05CE6C79" w:rsidR="008F432D" w:rsidRPr="00DE1573" w:rsidDel="00954CA7" w:rsidRDefault="008F432D" w:rsidP="009A6BE8">
            <w:pPr>
              <w:jc w:val="center"/>
            </w:pPr>
            <w:r w:rsidRPr="00DE1573">
              <w:t>4</w:t>
            </w:r>
          </w:p>
        </w:tc>
        <w:tc>
          <w:tcPr>
            <w:tcW w:w="6344" w:type="dxa"/>
            <w:tcBorders>
              <w:top w:val="single" w:sz="6" w:space="0" w:color="auto"/>
              <w:left w:val="single" w:sz="6" w:space="0" w:color="auto"/>
              <w:bottom w:val="single" w:sz="6" w:space="0" w:color="auto"/>
              <w:right w:val="single" w:sz="6" w:space="0" w:color="auto"/>
            </w:tcBorders>
          </w:tcPr>
          <w:p w14:paraId="14F3F047" w14:textId="766FBB46" w:rsidR="008F432D" w:rsidRPr="00DE1573" w:rsidRDefault="008F432D" w:rsidP="008F432D">
            <w:r w:rsidRPr="00DE1573">
              <w:t>Developing Claims for SC for Acquired Immune Deficiency Syndrome (AIDS)</w:t>
            </w:r>
          </w:p>
        </w:tc>
      </w:tr>
      <w:tr w:rsidR="008F432D" w:rsidRPr="00DE1573" w14:paraId="633F6D41"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07441BF2" w14:textId="0E5FD8CE" w:rsidR="008F432D" w:rsidRPr="00DE1573" w:rsidRDefault="008F432D" w:rsidP="009A6BE8">
            <w:pPr>
              <w:jc w:val="center"/>
            </w:pPr>
            <w:r w:rsidRPr="00DE1573">
              <w:t>5</w:t>
            </w:r>
          </w:p>
        </w:tc>
        <w:tc>
          <w:tcPr>
            <w:tcW w:w="6344" w:type="dxa"/>
            <w:tcBorders>
              <w:top w:val="single" w:sz="6" w:space="0" w:color="auto"/>
              <w:left w:val="single" w:sz="6" w:space="0" w:color="auto"/>
              <w:bottom w:val="single" w:sz="6" w:space="0" w:color="auto"/>
              <w:right w:val="single" w:sz="6" w:space="0" w:color="auto"/>
            </w:tcBorders>
          </w:tcPr>
          <w:p w14:paraId="5AF0CEEE" w14:textId="4F2188CB" w:rsidR="008F432D" w:rsidRPr="00DE1573" w:rsidRDefault="008F432D" w:rsidP="008F432D">
            <w:r w:rsidRPr="00DE1573">
              <w:t>Developing Claims Based on Participation in Special Operations Incidents</w:t>
            </w:r>
          </w:p>
        </w:tc>
      </w:tr>
      <w:tr w:rsidR="008F432D" w:rsidRPr="00DE1573" w14:paraId="10D86A68"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134F4CEE" w14:textId="4E798330" w:rsidR="008F432D" w:rsidRPr="00DE1573" w:rsidRDefault="008F432D" w:rsidP="009A6BE8">
            <w:pPr>
              <w:jc w:val="center"/>
            </w:pPr>
            <w:r w:rsidRPr="00DE1573">
              <w:t>6</w:t>
            </w:r>
          </w:p>
        </w:tc>
        <w:tc>
          <w:tcPr>
            <w:tcW w:w="6344" w:type="dxa"/>
            <w:tcBorders>
              <w:top w:val="single" w:sz="6" w:space="0" w:color="auto"/>
              <w:left w:val="single" w:sz="6" w:space="0" w:color="auto"/>
              <w:bottom w:val="single" w:sz="6" w:space="0" w:color="auto"/>
              <w:right w:val="single" w:sz="6" w:space="0" w:color="auto"/>
            </w:tcBorders>
          </w:tcPr>
          <w:p w14:paraId="6446F2AB" w14:textId="2E5A8C88" w:rsidR="008F432D" w:rsidRPr="00DE1573" w:rsidRDefault="008F432D" w:rsidP="008F432D">
            <w:r w:rsidRPr="00DE1573">
              <w:t>Developing Claims Based on Exposure to Environmental Hazards</w:t>
            </w:r>
          </w:p>
        </w:tc>
      </w:tr>
      <w:tr w:rsidR="008F432D" w:rsidRPr="00DE1573" w14:paraId="3FE450D8"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5976DAEA" w14:textId="6DA73B31" w:rsidR="008F432D" w:rsidRPr="00DE1573" w:rsidRDefault="008F432D" w:rsidP="009A6BE8">
            <w:pPr>
              <w:jc w:val="center"/>
            </w:pPr>
            <w:r w:rsidRPr="00DE1573">
              <w:t>7</w:t>
            </w:r>
          </w:p>
        </w:tc>
        <w:tc>
          <w:tcPr>
            <w:tcW w:w="6344" w:type="dxa"/>
            <w:tcBorders>
              <w:top w:val="single" w:sz="6" w:space="0" w:color="auto"/>
              <w:left w:val="single" w:sz="6" w:space="0" w:color="auto"/>
              <w:bottom w:val="single" w:sz="6" w:space="0" w:color="auto"/>
              <w:right w:val="single" w:sz="6" w:space="0" w:color="auto"/>
            </w:tcBorders>
          </w:tcPr>
          <w:p w14:paraId="3FB9399F" w14:textId="532253ED" w:rsidR="008F432D" w:rsidRPr="00DE1573" w:rsidRDefault="008F432D" w:rsidP="008F432D">
            <w:r w:rsidRPr="00DE1573">
              <w:t>Developing Claims Based on Participation in the Shipboard Hazard and Defense (SHAD) Project</w:t>
            </w:r>
          </w:p>
        </w:tc>
      </w:tr>
      <w:tr w:rsidR="008F432D" w:rsidRPr="00DE1573" w14:paraId="71F3388D"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34FE3E45" w14:textId="65DE6BD3" w:rsidR="008F432D" w:rsidRPr="00DE1573" w:rsidRDefault="008F432D" w:rsidP="009A6BE8">
            <w:pPr>
              <w:jc w:val="center"/>
            </w:pPr>
            <w:r w:rsidRPr="00DE1573">
              <w:t>8</w:t>
            </w:r>
          </w:p>
        </w:tc>
        <w:tc>
          <w:tcPr>
            <w:tcW w:w="6344" w:type="dxa"/>
            <w:tcBorders>
              <w:top w:val="single" w:sz="6" w:space="0" w:color="auto"/>
              <w:left w:val="single" w:sz="6" w:space="0" w:color="auto"/>
              <w:bottom w:val="single" w:sz="6" w:space="0" w:color="auto"/>
              <w:right w:val="single" w:sz="6" w:space="0" w:color="auto"/>
            </w:tcBorders>
          </w:tcPr>
          <w:p w14:paraId="18A7A1B4" w14:textId="77777777" w:rsidR="008F432D" w:rsidRPr="00DE1573" w:rsidRDefault="008F432D" w:rsidP="008F432D">
            <w:r w:rsidRPr="00DE1573">
              <w:t>Developing Claims Based on Chemical Biological Radiological Nuclear and Explosives (CBRNE) Testing</w:t>
            </w:r>
          </w:p>
        </w:tc>
      </w:tr>
      <w:tr w:rsidR="008F432D" w:rsidRPr="00DE1573" w14:paraId="7909E4AD"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1ACD61FA" w14:textId="57CB61CD" w:rsidR="008F432D" w:rsidRPr="00DE1573" w:rsidRDefault="008F432D" w:rsidP="009A6BE8">
            <w:pPr>
              <w:jc w:val="center"/>
            </w:pPr>
            <w:r w:rsidRPr="00DE1573">
              <w:t>9</w:t>
            </w:r>
          </w:p>
        </w:tc>
        <w:tc>
          <w:tcPr>
            <w:tcW w:w="6344" w:type="dxa"/>
            <w:tcBorders>
              <w:top w:val="single" w:sz="6" w:space="0" w:color="auto"/>
              <w:left w:val="single" w:sz="6" w:space="0" w:color="auto"/>
              <w:bottom w:val="single" w:sz="6" w:space="0" w:color="auto"/>
              <w:right w:val="single" w:sz="6" w:space="0" w:color="auto"/>
            </w:tcBorders>
          </w:tcPr>
          <w:p w14:paraId="543464BF" w14:textId="77777777" w:rsidR="008F432D" w:rsidRPr="00DE1573" w:rsidRDefault="008F432D" w:rsidP="008F432D">
            <w:r w:rsidRPr="00DE1573">
              <w:t>Exhibit 1:  FACT SHEET Burn Pits in Iraq, Afghanistan, and the Horn of Africa</w:t>
            </w:r>
          </w:p>
        </w:tc>
      </w:tr>
      <w:tr w:rsidR="008F432D" w:rsidRPr="00DE1573" w14:paraId="42D27D12"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0B96B344" w14:textId="601C7E91" w:rsidR="008F432D" w:rsidRPr="00DE1573" w:rsidRDefault="008F432D" w:rsidP="009A6BE8">
            <w:pPr>
              <w:jc w:val="center"/>
            </w:pPr>
            <w:r w:rsidRPr="00DE1573">
              <w:t>10</w:t>
            </w:r>
          </w:p>
        </w:tc>
        <w:tc>
          <w:tcPr>
            <w:tcW w:w="6344" w:type="dxa"/>
            <w:tcBorders>
              <w:top w:val="single" w:sz="6" w:space="0" w:color="auto"/>
              <w:left w:val="single" w:sz="6" w:space="0" w:color="auto"/>
              <w:bottom w:val="single" w:sz="6" w:space="0" w:color="auto"/>
              <w:right w:val="single" w:sz="6" w:space="0" w:color="auto"/>
            </w:tcBorders>
          </w:tcPr>
          <w:p w14:paraId="2F67F944" w14:textId="1F5150AD" w:rsidR="008F432D" w:rsidRPr="00DE1573" w:rsidRDefault="008F432D" w:rsidP="00FB0F59">
            <w:r w:rsidRPr="00DE1573">
              <w:t>Exhibit 2:  FACT SHEET Particulate Matter Throughout Iraq</w:t>
            </w:r>
            <w:r w:rsidR="00FB0F59" w:rsidRPr="00DE1573">
              <w:t>,</w:t>
            </w:r>
            <w:r w:rsidRPr="00DE1573">
              <w:t xml:space="preserve"> Afghanistan</w:t>
            </w:r>
            <w:r w:rsidR="00FB0F59" w:rsidRPr="00DE1573">
              <w:t>, and Djibouti</w:t>
            </w:r>
          </w:p>
        </w:tc>
      </w:tr>
      <w:tr w:rsidR="008F432D" w:rsidRPr="00DE1573" w14:paraId="4EA8FAA0"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2014ED70" w14:textId="06B1B8DB" w:rsidR="008F432D" w:rsidRPr="00DE1573" w:rsidRDefault="008F432D" w:rsidP="009A6BE8">
            <w:pPr>
              <w:jc w:val="center"/>
            </w:pPr>
            <w:r w:rsidRPr="00DE1573">
              <w:t>11</w:t>
            </w:r>
          </w:p>
        </w:tc>
        <w:tc>
          <w:tcPr>
            <w:tcW w:w="6344" w:type="dxa"/>
            <w:tcBorders>
              <w:top w:val="single" w:sz="6" w:space="0" w:color="auto"/>
              <w:left w:val="single" w:sz="6" w:space="0" w:color="auto"/>
              <w:bottom w:val="single" w:sz="6" w:space="0" w:color="auto"/>
              <w:right w:val="single" w:sz="6" w:space="0" w:color="auto"/>
            </w:tcBorders>
          </w:tcPr>
          <w:p w14:paraId="5DE5A99E" w14:textId="77777777" w:rsidR="008F432D" w:rsidRPr="00DE1573" w:rsidRDefault="008F432D" w:rsidP="008F432D">
            <w:r w:rsidRPr="00DE1573">
              <w:t xml:space="preserve">Exhibit 3:  FACT SHEET Sulfur Fire at the </w:t>
            </w:r>
            <w:proofErr w:type="spellStart"/>
            <w:r w:rsidRPr="00DE1573">
              <w:t>Mishraq</w:t>
            </w:r>
            <w:proofErr w:type="spellEnd"/>
            <w:r w:rsidRPr="00DE1573">
              <w:t xml:space="preserve"> State Sulfur Mine Near Mosul, Iraq</w:t>
            </w:r>
          </w:p>
        </w:tc>
      </w:tr>
      <w:tr w:rsidR="008F432D" w:rsidRPr="00DE1573" w14:paraId="638CA7B9"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43A39900" w14:textId="6360D089" w:rsidR="008F432D" w:rsidRPr="00DE1573" w:rsidRDefault="008F432D" w:rsidP="009A6BE8">
            <w:pPr>
              <w:jc w:val="center"/>
            </w:pPr>
            <w:r w:rsidRPr="00DE1573">
              <w:t>12</w:t>
            </w:r>
          </w:p>
        </w:tc>
        <w:tc>
          <w:tcPr>
            <w:tcW w:w="6344" w:type="dxa"/>
            <w:tcBorders>
              <w:top w:val="single" w:sz="6" w:space="0" w:color="auto"/>
              <w:left w:val="single" w:sz="6" w:space="0" w:color="auto"/>
              <w:bottom w:val="single" w:sz="6" w:space="0" w:color="auto"/>
              <w:right w:val="single" w:sz="6" w:space="0" w:color="auto"/>
            </w:tcBorders>
          </w:tcPr>
          <w:p w14:paraId="76317CC6" w14:textId="77777777" w:rsidR="008F432D" w:rsidRPr="00DE1573" w:rsidRDefault="008F432D" w:rsidP="008F432D">
            <w:r w:rsidRPr="00DE1573">
              <w:t xml:space="preserve">Exhibit 4:  FACT SHEET </w:t>
            </w:r>
            <w:proofErr w:type="spellStart"/>
            <w:r w:rsidRPr="00DE1573">
              <w:t>Qarmat</w:t>
            </w:r>
            <w:proofErr w:type="spellEnd"/>
            <w:r w:rsidRPr="00DE1573">
              <w:t xml:space="preserve"> Ali Water Treatment Plant in </w:t>
            </w:r>
            <w:proofErr w:type="spellStart"/>
            <w:r w:rsidRPr="00DE1573">
              <w:t>Basrah</w:t>
            </w:r>
            <w:proofErr w:type="spellEnd"/>
            <w:r w:rsidRPr="00DE1573">
              <w:t>, Iraq</w:t>
            </w:r>
          </w:p>
        </w:tc>
      </w:tr>
      <w:tr w:rsidR="008F432D" w:rsidRPr="00DE1573" w14:paraId="4184C7DC"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260B3E59" w14:textId="0ECC962F" w:rsidR="008F432D" w:rsidRPr="00DE1573" w:rsidRDefault="008F432D" w:rsidP="009A6BE8">
            <w:pPr>
              <w:jc w:val="center"/>
            </w:pPr>
            <w:r w:rsidRPr="00DE1573">
              <w:t>13</w:t>
            </w:r>
          </w:p>
        </w:tc>
        <w:tc>
          <w:tcPr>
            <w:tcW w:w="6344" w:type="dxa"/>
            <w:tcBorders>
              <w:top w:val="single" w:sz="6" w:space="0" w:color="auto"/>
              <w:left w:val="single" w:sz="6" w:space="0" w:color="auto"/>
              <w:bottom w:val="single" w:sz="6" w:space="0" w:color="auto"/>
              <w:right w:val="single" w:sz="6" w:space="0" w:color="auto"/>
            </w:tcBorders>
          </w:tcPr>
          <w:p w14:paraId="1863A384" w14:textId="77777777" w:rsidR="008F432D" w:rsidRPr="00DE1573" w:rsidRDefault="008F432D" w:rsidP="008F432D">
            <w:r w:rsidRPr="00DE1573">
              <w:t>Exhibit 5:  FACT SHEET Naval Air Facility, Atsugi, Japan</w:t>
            </w:r>
          </w:p>
        </w:tc>
      </w:tr>
      <w:tr w:rsidR="008F432D" w:rsidRPr="00DE1573" w14:paraId="311641BE"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1DF412A6" w14:textId="752384E6" w:rsidR="008F432D" w:rsidRPr="00DE1573" w:rsidRDefault="008F432D" w:rsidP="009A6BE8">
            <w:pPr>
              <w:jc w:val="center"/>
            </w:pPr>
            <w:r w:rsidRPr="00DE1573">
              <w:t>14</w:t>
            </w:r>
          </w:p>
        </w:tc>
        <w:tc>
          <w:tcPr>
            <w:tcW w:w="6344" w:type="dxa"/>
            <w:tcBorders>
              <w:top w:val="single" w:sz="6" w:space="0" w:color="auto"/>
              <w:left w:val="single" w:sz="6" w:space="0" w:color="auto"/>
              <w:bottom w:val="single" w:sz="6" w:space="0" w:color="auto"/>
              <w:right w:val="single" w:sz="6" w:space="0" w:color="auto"/>
            </w:tcBorders>
          </w:tcPr>
          <w:p w14:paraId="377C27F9" w14:textId="77777777" w:rsidR="008F432D" w:rsidRPr="00DE1573" w:rsidRDefault="008F432D" w:rsidP="008F432D">
            <w:r w:rsidRPr="00DE1573">
              <w:t>Exhibit 6:  Internet Websites Related to the Issue of Contaminated Water at Camp Lejeune</w:t>
            </w:r>
          </w:p>
        </w:tc>
      </w:tr>
      <w:tr w:rsidR="008F432D" w:rsidRPr="00DE1573" w14:paraId="3F16812A"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3DE4D809" w14:textId="1715920F" w:rsidR="008F432D" w:rsidRPr="00DE1573" w:rsidRDefault="008F432D" w:rsidP="009A6BE8">
            <w:pPr>
              <w:jc w:val="center"/>
            </w:pPr>
            <w:r w:rsidRPr="00DE1573">
              <w:t>15</w:t>
            </w:r>
          </w:p>
        </w:tc>
        <w:tc>
          <w:tcPr>
            <w:tcW w:w="6344" w:type="dxa"/>
            <w:tcBorders>
              <w:top w:val="single" w:sz="6" w:space="0" w:color="auto"/>
              <w:left w:val="single" w:sz="6" w:space="0" w:color="auto"/>
              <w:bottom w:val="single" w:sz="6" w:space="0" w:color="auto"/>
              <w:right w:val="single" w:sz="6" w:space="0" w:color="auto"/>
            </w:tcBorders>
          </w:tcPr>
          <w:p w14:paraId="0F40AC16" w14:textId="77777777" w:rsidR="008F432D" w:rsidRPr="00DE1573" w:rsidRDefault="008F432D" w:rsidP="008F432D">
            <w:r w:rsidRPr="00DE1573">
              <w:t>Exhibit 7:  Diseases Potentially Associated With Exposure to Contaminants Present in the Camp Lejeune Water Supply Between 1953 and 1987</w:t>
            </w:r>
          </w:p>
        </w:tc>
      </w:tr>
      <w:tr w:rsidR="008F432D" w:rsidRPr="00DE1573" w14:paraId="00A3345C"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5D65F26F" w14:textId="0BB1BDB9" w:rsidR="008F432D" w:rsidRPr="00DE1573" w:rsidRDefault="008F432D" w:rsidP="009A6BE8">
            <w:pPr>
              <w:jc w:val="center"/>
            </w:pPr>
            <w:r w:rsidRPr="00DE1573">
              <w:t>16</w:t>
            </w:r>
          </w:p>
        </w:tc>
        <w:tc>
          <w:tcPr>
            <w:tcW w:w="6344" w:type="dxa"/>
            <w:tcBorders>
              <w:top w:val="single" w:sz="6" w:space="0" w:color="auto"/>
              <w:left w:val="single" w:sz="6" w:space="0" w:color="auto"/>
              <w:bottom w:val="single" w:sz="6" w:space="0" w:color="auto"/>
              <w:right w:val="single" w:sz="6" w:space="0" w:color="auto"/>
            </w:tcBorders>
          </w:tcPr>
          <w:p w14:paraId="2B1285C9" w14:textId="77777777" w:rsidR="008F432D" w:rsidRPr="00DE1573" w:rsidRDefault="008F432D" w:rsidP="008F432D">
            <w:r w:rsidRPr="00DE1573">
              <w:t>Exhibit 8:  Internet Websites Describing Potential Health Effects of Exposure to Chemical Contaminants Present in the Water Supply of Camp Lejeune Between 1953 and 1987</w:t>
            </w:r>
          </w:p>
        </w:tc>
      </w:tr>
      <w:tr w:rsidR="008F432D" w:rsidRPr="00DE1573" w14:paraId="68D7AE34" w14:textId="77777777" w:rsidTr="00B4527B">
        <w:trPr>
          <w:cantSplit/>
        </w:trPr>
        <w:tc>
          <w:tcPr>
            <w:tcW w:w="1296" w:type="dxa"/>
            <w:tcBorders>
              <w:top w:val="single" w:sz="6" w:space="0" w:color="auto"/>
              <w:left w:val="single" w:sz="6" w:space="0" w:color="auto"/>
              <w:bottom w:val="single" w:sz="6" w:space="0" w:color="auto"/>
              <w:right w:val="single" w:sz="6" w:space="0" w:color="auto"/>
            </w:tcBorders>
          </w:tcPr>
          <w:p w14:paraId="101C53B7" w14:textId="3C0D9A0F" w:rsidR="008F432D" w:rsidRPr="00DE1573" w:rsidRDefault="008F432D" w:rsidP="009A6BE8">
            <w:pPr>
              <w:jc w:val="center"/>
            </w:pPr>
            <w:r w:rsidRPr="00DE1573">
              <w:t>17</w:t>
            </w:r>
          </w:p>
        </w:tc>
        <w:tc>
          <w:tcPr>
            <w:tcW w:w="6344" w:type="dxa"/>
            <w:tcBorders>
              <w:top w:val="single" w:sz="6" w:space="0" w:color="auto"/>
              <w:left w:val="single" w:sz="6" w:space="0" w:color="auto"/>
              <w:bottom w:val="single" w:sz="6" w:space="0" w:color="auto"/>
              <w:right w:val="single" w:sz="6" w:space="0" w:color="auto"/>
            </w:tcBorders>
          </w:tcPr>
          <w:p w14:paraId="29C43FFE" w14:textId="77777777" w:rsidR="008F432D" w:rsidRPr="00DE1573" w:rsidRDefault="008F432D" w:rsidP="008F432D">
            <w:r w:rsidRPr="00DE1573">
              <w:t>Exhibit 9:  Notice to Examiners Evaluating Claims Based on Service at Camp Lejeune</w:t>
            </w:r>
          </w:p>
        </w:tc>
      </w:tr>
    </w:tbl>
    <w:p w14:paraId="0CF71AD8" w14:textId="2713E8FD" w:rsidR="00571B07" w:rsidRPr="00DE1573" w:rsidRDefault="00327641" w:rsidP="00327641">
      <w:pPr>
        <w:tabs>
          <w:tab w:val="left" w:pos="9360"/>
        </w:tabs>
        <w:ind w:left="1714"/>
      </w:pPr>
      <w:r w:rsidRPr="00DE1573">
        <w:rPr>
          <w:u w:val="single"/>
        </w:rPr>
        <w:tab/>
      </w:r>
    </w:p>
    <w:p w14:paraId="41DDE78F" w14:textId="790934E2" w:rsidR="00327641" w:rsidRPr="00DE1573" w:rsidRDefault="00327641" w:rsidP="00327641">
      <w:pPr>
        <w:ind w:left="1714"/>
      </w:pPr>
    </w:p>
    <w:p w14:paraId="713EBD6E" w14:textId="77777777" w:rsidR="00327641" w:rsidRPr="00DE1573" w:rsidRDefault="00327641" w:rsidP="00327641"/>
    <w:p w14:paraId="73429729" w14:textId="77777777" w:rsidR="00571B07" w:rsidRPr="00DE1573" w:rsidRDefault="00571B07" w:rsidP="008F432D"/>
    <w:p w14:paraId="319F6D37" w14:textId="2B5D9002" w:rsidR="005D07EB" w:rsidRPr="00DE1573" w:rsidRDefault="005D07EB">
      <w:pPr>
        <w:pStyle w:val="Heading4"/>
      </w:pPr>
      <w:r w:rsidRPr="00DE1573">
        <w:br w:type="page"/>
      </w:r>
      <w:r w:rsidR="00954CA7" w:rsidRPr="00DE1573">
        <w:lastRenderedPageBreak/>
        <w:t>1</w:t>
      </w:r>
      <w:r w:rsidRPr="00DE1573">
        <w:t>.  Developing Claims for SC for Positive Tuberculin Reactions</w:t>
      </w:r>
    </w:p>
    <w:p w14:paraId="319F6D38" w14:textId="3F6A58F8"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3F" w14:textId="77777777" w:rsidTr="009165F6">
        <w:tc>
          <w:tcPr>
            <w:tcW w:w="1728" w:type="dxa"/>
          </w:tcPr>
          <w:p w14:paraId="319F6D39" w14:textId="77777777" w:rsidR="005D07EB" w:rsidRPr="00DE1573" w:rsidRDefault="005D07EB">
            <w:pPr>
              <w:pStyle w:val="Heading5"/>
            </w:pPr>
            <w:r w:rsidRPr="00DE1573">
              <w:t>Introduction</w:t>
            </w:r>
          </w:p>
        </w:tc>
        <w:tc>
          <w:tcPr>
            <w:tcW w:w="7740" w:type="dxa"/>
          </w:tcPr>
          <w:p w14:paraId="319F6D3A" w14:textId="6DE3FD6E" w:rsidR="005D07EB" w:rsidRPr="00DE1573" w:rsidRDefault="005D07EB">
            <w:pPr>
              <w:pStyle w:val="BlockText"/>
            </w:pPr>
            <w:r w:rsidRPr="00DE1573">
              <w:t xml:space="preserve">This topic contains information on developing claims for </w:t>
            </w:r>
            <w:r w:rsidR="001B5628" w:rsidRPr="00DE1573">
              <w:t>SC</w:t>
            </w:r>
            <w:r w:rsidRPr="00DE1573">
              <w:t xml:space="preserve"> for positive tuberculin reactions, including </w:t>
            </w:r>
            <w:r w:rsidR="00C87AE0" w:rsidRPr="00DE1573">
              <w:t>the</w:t>
            </w:r>
          </w:p>
          <w:p w14:paraId="319F6D3B" w14:textId="77777777" w:rsidR="005D07EB" w:rsidRPr="00DE1573" w:rsidRDefault="005D07EB">
            <w:pPr>
              <w:pStyle w:val="BlockText"/>
            </w:pPr>
          </w:p>
          <w:p w14:paraId="319F6D3C" w14:textId="77777777" w:rsidR="005D07EB" w:rsidRPr="00DE1573" w:rsidRDefault="005D07EB">
            <w:pPr>
              <w:pStyle w:val="BulletText1"/>
            </w:pPr>
            <w:r w:rsidRPr="00DE1573">
              <w:t xml:space="preserve">action to take </w:t>
            </w:r>
            <w:r w:rsidR="00C87AE0" w:rsidRPr="00DE1573">
              <w:t>when a positive tuberculin reaction only is claimed</w:t>
            </w:r>
          </w:p>
          <w:p w14:paraId="319F6D3D" w14:textId="77777777" w:rsidR="00C87AE0" w:rsidRPr="00DE1573" w:rsidRDefault="00C87AE0">
            <w:pPr>
              <w:pStyle w:val="BulletText1"/>
            </w:pPr>
            <w:r w:rsidRPr="00DE1573">
              <w:t>action to take when a positive tuberculin reaction and other disabilities are claimed, and</w:t>
            </w:r>
          </w:p>
          <w:p w14:paraId="319F6D3E" w14:textId="77777777" w:rsidR="005D07EB" w:rsidRPr="00DE1573" w:rsidRDefault="005D07EB">
            <w:pPr>
              <w:pStyle w:val="BulletText1"/>
            </w:pPr>
            <w:proofErr w:type="gramStart"/>
            <w:r w:rsidRPr="00DE1573">
              <w:t>reporting</w:t>
            </w:r>
            <w:proofErr w:type="gramEnd"/>
            <w:r w:rsidRPr="00DE1573">
              <w:t xml:space="preserve"> responsibilities of the Department of </w:t>
            </w:r>
            <w:r w:rsidR="00C87AE0" w:rsidRPr="00DE1573">
              <w:t>Veteran</w:t>
            </w:r>
            <w:r w:rsidRPr="00DE1573">
              <w:t>s Affairs (VA) outpatient clinics and VA medical centers (VAMCs).</w:t>
            </w:r>
          </w:p>
        </w:tc>
      </w:tr>
    </w:tbl>
    <w:p w14:paraId="319F6D40" w14:textId="77777777"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43" w14:textId="77777777">
        <w:trPr>
          <w:cantSplit/>
        </w:trPr>
        <w:tc>
          <w:tcPr>
            <w:tcW w:w="1728" w:type="dxa"/>
          </w:tcPr>
          <w:p w14:paraId="319F6D41" w14:textId="77777777" w:rsidR="005D07EB" w:rsidRPr="00DE1573" w:rsidRDefault="005D07EB">
            <w:pPr>
              <w:pStyle w:val="Heading5"/>
            </w:pPr>
            <w:r w:rsidRPr="00DE1573">
              <w:t>Change Date</w:t>
            </w:r>
          </w:p>
        </w:tc>
        <w:tc>
          <w:tcPr>
            <w:tcW w:w="7740" w:type="dxa"/>
          </w:tcPr>
          <w:p w14:paraId="319F6D42" w14:textId="0272F5B5" w:rsidR="005D07EB" w:rsidRPr="00DE1573" w:rsidRDefault="006E6101">
            <w:pPr>
              <w:pStyle w:val="BlockText"/>
            </w:pPr>
            <w:r w:rsidRPr="00DE1573">
              <w:t>October 23, 2015</w:t>
            </w:r>
          </w:p>
        </w:tc>
      </w:tr>
    </w:tbl>
    <w:p w14:paraId="319F6D44" w14:textId="2EA6147E"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49" w14:textId="77777777">
        <w:trPr>
          <w:cantSplit/>
        </w:trPr>
        <w:tc>
          <w:tcPr>
            <w:tcW w:w="1728" w:type="dxa"/>
          </w:tcPr>
          <w:p w14:paraId="319F6D45" w14:textId="77777777" w:rsidR="005D07EB" w:rsidRPr="00DE1573" w:rsidRDefault="005D07EB" w:rsidP="00C87AE0">
            <w:pPr>
              <w:pStyle w:val="Heading5"/>
            </w:pPr>
            <w:proofErr w:type="gramStart"/>
            <w:r w:rsidRPr="00DE1573">
              <w:t xml:space="preserve">a.  </w:t>
            </w:r>
            <w:r w:rsidR="00C87AE0" w:rsidRPr="00DE1573">
              <w:t>Action</w:t>
            </w:r>
            <w:proofErr w:type="gramEnd"/>
            <w:r w:rsidR="00C87AE0" w:rsidRPr="00DE1573">
              <w:t xml:space="preserve"> to Take When</w:t>
            </w:r>
            <w:r w:rsidRPr="00DE1573">
              <w:t xml:space="preserve"> a Positive Tuberculin Reaction Only</w:t>
            </w:r>
            <w:r w:rsidR="00C87AE0" w:rsidRPr="00DE1573">
              <w:t xml:space="preserve"> Is Claimed</w:t>
            </w:r>
          </w:p>
        </w:tc>
        <w:tc>
          <w:tcPr>
            <w:tcW w:w="7740" w:type="dxa"/>
          </w:tcPr>
          <w:p w14:paraId="319F6D46" w14:textId="477C0B34" w:rsidR="005D07EB" w:rsidRPr="00DE1573" w:rsidRDefault="005D07EB">
            <w:pPr>
              <w:pStyle w:val="BlockText"/>
            </w:pPr>
            <w:r w:rsidRPr="00DE1573">
              <w:t>If</w:t>
            </w:r>
            <w:r w:rsidR="00DD236E" w:rsidRPr="00DE1573">
              <w:t xml:space="preserve"> a claim is submitted for</w:t>
            </w:r>
            <w:r w:rsidRPr="00DE1573">
              <w:t xml:space="preserve"> </w:t>
            </w:r>
            <w:r w:rsidRPr="00DE1573">
              <w:rPr>
                <w:i/>
              </w:rPr>
              <w:t>only</w:t>
            </w:r>
            <w:r w:rsidRPr="00DE1573">
              <w:t xml:space="preserve"> a positive tuberculin reaction, refer the claim to the rating activity for a determination as to whether or not a disability is present.</w:t>
            </w:r>
          </w:p>
          <w:p w14:paraId="319F6D47" w14:textId="77777777" w:rsidR="005D07EB" w:rsidRPr="00DE1573" w:rsidRDefault="005D07EB">
            <w:pPr>
              <w:pStyle w:val="BlockText"/>
            </w:pPr>
          </w:p>
          <w:p w14:paraId="319F6D48" w14:textId="79391F23" w:rsidR="005D07EB" w:rsidRPr="00DE1573" w:rsidRDefault="005D07EB" w:rsidP="00701633">
            <w:pPr>
              <w:pStyle w:val="BlockText"/>
            </w:pPr>
            <w:r w:rsidRPr="00DE1573">
              <w:rPr>
                <w:b/>
                <w:i/>
              </w:rPr>
              <w:t>Reference</w:t>
            </w:r>
            <w:r w:rsidRPr="00DE1573">
              <w:t xml:space="preserve">:  For more information on </w:t>
            </w:r>
            <w:r w:rsidR="00701633" w:rsidRPr="00DE1573">
              <w:t>medical treatment</w:t>
            </w:r>
            <w:r w:rsidRPr="00DE1573">
              <w:t xml:space="preserve"> for a positive tuberculin reaction, see </w:t>
            </w:r>
            <w:r w:rsidR="00F17210" w:rsidRPr="00DE1573">
              <w:t>M21-1, Part III, Subpart v, 7.A</w:t>
            </w:r>
            <w:r w:rsidRPr="00DE1573">
              <w:t>.</w:t>
            </w:r>
            <w:r w:rsidR="00701633" w:rsidRPr="00DE1573">
              <w:t>10.</w:t>
            </w:r>
          </w:p>
        </w:tc>
      </w:tr>
    </w:tbl>
    <w:p w14:paraId="319F6D4A" w14:textId="311AE30F"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50" w14:textId="77777777">
        <w:trPr>
          <w:cantSplit/>
        </w:trPr>
        <w:tc>
          <w:tcPr>
            <w:tcW w:w="1728" w:type="dxa"/>
          </w:tcPr>
          <w:p w14:paraId="319F6D4B" w14:textId="4510C2ED" w:rsidR="005D07EB" w:rsidRPr="00DE1573" w:rsidRDefault="005D07EB" w:rsidP="00C87AE0">
            <w:pPr>
              <w:pStyle w:val="Heading5"/>
            </w:pPr>
            <w:proofErr w:type="gramStart"/>
            <w:r w:rsidRPr="00DE1573">
              <w:t>b.</w:t>
            </w:r>
            <w:r w:rsidR="005E1929" w:rsidRPr="00DE1573">
              <w:t xml:space="preserve"> </w:t>
            </w:r>
            <w:r w:rsidRPr="00DE1573">
              <w:t xml:space="preserve"> </w:t>
            </w:r>
            <w:r w:rsidR="003318F9" w:rsidRPr="00DE1573">
              <w:t>Action</w:t>
            </w:r>
            <w:proofErr w:type="gramEnd"/>
            <w:r w:rsidR="003318F9" w:rsidRPr="00DE1573">
              <w:t xml:space="preserve"> to Take </w:t>
            </w:r>
            <w:r w:rsidR="00C87AE0" w:rsidRPr="00DE1573">
              <w:t xml:space="preserve">When </w:t>
            </w:r>
            <w:r w:rsidRPr="00DE1573">
              <w:t>a Positive Tuberculin Reaction and Other Disabilities</w:t>
            </w:r>
            <w:r w:rsidR="00C87AE0" w:rsidRPr="00DE1573">
              <w:t xml:space="preserve"> Are Claimed</w:t>
            </w:r>
          </w:p>
        </w:tc>
        <w:tc>
          <w:tcPr>
            <w:tcW w:w="7740" w:type="dxa"/>
          </w:tcPr>
          <w:p w14:paraId="319F6D4C" w14:textId="2FC4EF3E" w:rsidR="005D07EB" w:rsidRPr="00DE1573" w:rsidRDefault="005D07EB">
            <w:pPr>
              <w:pStyle w:val="BlockText"/>
            </w:pPr>
            <w:r w:rsidRPr="00DE1573">
              <w:t>If a positive tuberculin reaction is claimed together with other disabilities</w:t>
            </w:r>
          </w:p>
          <w:p w14:paraId="319F6D4D" w14:textId="77777777" w:rsidR="005D07EB" w:rsidRPr="00DE1573" w:rsidRDefault="005D07EB">
            <w:pPr>
              <w:pStyle w:val="BlockText"/>
            </w:pPr>
          </w:p>
          <w:p w14:paraId="319F6D4E" w14:textId="77777777" w:rsidR="005D07EB" w:rsidRPr="00DE1573" w:rsidRDefault="005D07EB">
            <w:pPr>
              <w:pStyle w:val="BulletText1"/>
            </w:pPr>
            <w:r w:rsidRPr="00DE1573">
              <w:t>complete any appropriate development required for the other disabilities, and</w:t>
            </w:r>
          </w:p>
          <w:p w14:paraId="319F6D4F" w14:textId="6F857F80" w:rsidR="005D07EB" w:rsidRPr="00DE1573" w:rsidRDefault="005D07EB">
            <w:pPr>
              <w:pStyle w:val="BulletText1"/>
            </w:pPr>
            <w:proofErr w:type="gramStart"/>
            <w:r w:rsidRPr="00DE1573">
              <w:t>refer</w:t>
            </w:r>
            <w:proofErr w:type="gramEnd"/>
            <w:r w:rsidRPr="00DE1573">
              <w:t xml:space="preserve"> the </w:t>
            </w:r>
            <w:r w:rsidR="00576542" w:rsidRPr="00DE1573">
              <w:t>claims folder</w:t>
            </w:r>
            <w:r w:rsidRPr="00DE1573">
              <w:t xml:space="preserve"> to the rating activity for rating of all the claimed disabilities.</w:t>
            </w:r>
          </w:p>
        </w:tc>
      </w:tr>
    </w:tbl>
    <w:p w14:paraId="319F6D53" w14:textId="2021E7E3" w:rsidR="005D07EB" w:rsidRPr="00DE1573" w:rsidRDefault="005D07EB" w:rsidP="00526066">
      <w:pPr>
        <w:pStyle w:val="ContinuedOnNextPa"/>
        <w:jc w:val="left"/>
      </w:pPr>
    </w:p>
    <w:tbl>
      <w:tblPr>
        <w:tblW w:w="0" w:type="auto"/>
        <w:tblLayout w:type="fixed"/>
        <w:tblLook w:val="0000" w:firstRow="0" w:lastRow="0" w:firstColumn="0" w:lastColumn="0" w:noHBand="0" w:noVBand="0"/>
      </w:tblPr>
      <w:tblGrid>
        <w:gridCol w:w="1728"/>
        <w:gridCol w:w="7740"/>
      </w:tblGrid>
      <w:tr w:rsidR="005D07EB" w:rsidRPr="00DE1573" w14:paraId="319F6D5A" w14:textId="77777777" w:rsidTr="002630DD">
        <w:tc>
          <w:tcPr>
            <w:tcW w:w="1728" w:type="dxa"/>
          </w:tcPr>
          <w:p w14:paraId="319F6D54" w14:textId="12D5DDB9" w:rsidR="005D07EB" w:rsidRPr="00DE1573" w:rsidRDefault="005D07EB">
            <w:pPr>
              <w:pStyle w:val="Heading5"/>
            </w:pPr>
            <w:proofErr w:type="gramStart"/>
            <w:r w:rsidRPr="00DE1573">
              <w:t>c.  Reporting</w:t>
            </w:r>
            <w:proofErr w:type="gramEnd"/>
            <w:r w:rsidRPr="00DE1573">
              <w:t xml:space="preserve"> Responsibilities of VA Outpatient Clinics and</w:t>
            </w:r>
            <w:r w:rsidR="003318F9" w:rsidRPr="00DE1573">
              <w:t xml:space="preserve"> VA</w:t>
            </w:r>
            <w:r w:rsidRPr="00DE1573">
              <w:t>MCs</w:t>
            </w:r>
          </w:p>
        </w:tc>
        <w:tc>
          <w:tcPr>
            <w:tcW w:w="7740" w:type="dxa"/>
          </w:tcPr>
          <w:p w14:paraId="319F6D55" w14:textId="572E5A7E" w:rsidR="005D07EB" w:rsidRPr="00DE1573" w:rsidRDefault="005D07EB">
            <w:pPr>
              <w:pStyle w:val="BlockText"/>
            </w:pPr>
            <w:r w:rsidRPr="00DE1573">
              <w:t xml:space="preserve">As provided in </w:t>
            </w:r>
            <w:r w:rsidR="0093784A" w:rsidRPr="00DE1573">
              <w:t>M21-1, Part III, Subpart v, 7.A</w:t>
            </w:r>
            <w:r w:rsidR="00701633" w:rsidRPr="00DE1573">
              <w:t>.10.c</w:t>
            </w:r>
            <w:r w:rsidR="0093784A" w:rsidRPr="00DE1573">
              <w:t>,</w:t>
            </w:r>
            <w:r w:rsidRPr="00DE1573">
              <w:t xml:space="preserve"> a Department of </w:t>
            </w:r>
            <w:r w:rsidR="00C87AE0" w:rsidRPr="00DE1573">
              <w:t>Veteran</w:t>
            </w:r>
            <w:r w:rsidRPr="00DE1573">
              <w:t>s Affairs (VA) outpatient clinic or VA medical center (VAMC) will furnish a report of the follow-up examination made at the expiration of the 12-month period of chemotherapy for discharged personnel who have had a tuberculin test conversion from negative to positive during service.</w:t>
            </w:r>
          </w:p>
          <w:p w14:paraId="319F6D56" w14:textId="77777777" w:rsidR="005D07EB" w:rsidRPr="00DE1573" w:rsidRDefault="005D07EB">
            <w:pPr>
              <w:pStyle w:val="BlockText"/>
            </w:pPr>
          </w:p>
          <w:p w14:paraId="034AA9E0" w14:textId="75038017" w:rsidR="005D07EB" w:rsidRPr="00DE1573" w:rsidRDefault="007E67FD" w:rsidP="007E67FD">
            <w:pPr>
              <w:pStyle w:val="BlockText"/>
            </w:pPr>
            <w:r w:rsidRPr="00DE1573">
              <w:t>I</w:t>
            </w:r>
            <w:r w:rsidR="005D07EB" w:rsidRPr="00DE1573">
              <w:t>f a VA outpatient clinic or VAMC report or any other evidence indicates the presence of tuberculous disease</w:t>
            </w:r>
            <w:r w:rsidRPr="00DE1573">
              <w:t xml:space="preserve">, solicit a claim for </w:t>
            </w:r>
            <w:r w:rsidR="008C3E1A" w:rsidRPr="00DE1573">
              <w:t>service connection (</w:t>
            </w:r>
            <w:r w:rsidR="001B5628" w:rsidRPr="00DE1573">
              <w:t>SC</w:t>
            </w:r>
            <w:r w:rsidR="008C3E1A" w:rsidRPr="00DE1573">
              <w:t>)</w:t>
            </w:r>
            <w:r w:rsidR="00EF39DC" w:rsidRPr="00DE1573">
              <w:t>.</w:t>
            </w:r>
          </w:p>
          <w:p w14:paraId="6263A893" w14:textId="77777777" w:rsidR="007E67FD" w:rsidRPr="00DE1573" w:rsidRDefault="007E67FD" w:rsidP="007E67FD">
            <w:pPr>
              <w:pStyle w:val="BlockText"/>
            </w:pPr>
          </w:p>
          <w:p w14:paraId="319F6D59" w14:textId="24470412" w:rsidR="007E67FD" w:rsidRPr="00DE1573" w:rsidRDefault="007E67FD" w:rsidP="007E67FD">
            <w:pPr>
              <w:pStyle w:val="BlockText"/>
            </w:pPr>
            <w:r w:rsidRPr="00DE1573">
              <w:rPr>
                <w:b/>
                <w:i/>
              </w:rPr>
              <w:t>Reference</w:t>
            </w:r>
            <w:r w:rsidRPr="00DE1573">
              <w:t>:  For more information on soliciting claims for chronic, unclaimed disabilities, see M21-1, Part IV, Subpart ii, 2.A.1.f.</w:t>
            </w:r>
          </w:p>
        </w:tc>
      </w:tr>
    </w:tbl>
    <w:p w14:paraId="319F6D5B" w14:textId="77777777" w:rsidR="005D07EB" w:rsidRPr="00DE1573" w:rsidRDefault="005D07EB">
      <w:pPr>
        <w:pStyle w:val="BlockLine"/>
      </w:pPr>
    </w:p>
    <w:p w14:paraId="319F6D5C" w14:textId="749FB080" w:rsidR="005D07EB" w:rsidRPr="00DE1573" w:rsidRDefault="005D07EB">
      <w:pPr>
        <w:pStyle w:val="Heading4"/>
      </w:pPr>
      <w:r w:rsidRPr="00DE1573">
        <w:br w:type="page"/>
      </w:r>
      <w:r w:rsidR="00954CA7" w:rsidRPr="00DE1573">
        <w:lastRenderedPageBreak/>
        <w:t>2</w:t>
      </w:r>
      <w:r w:rsidRPr="00DE1573">
        <w:t>.  Developing Claims for SC for Chronic or Tropical Diseases</w:t>
      </w:r>
    </w:p>
    <w:p w14:paraId="319F6D5D" w14:textId="2D43261F"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6A" w14:textId="77777777">
        <w:trPr>
          <w:cantSplit/>
        </w:trPr>
        <w:tc>
          <w:tcPr>
            <w:tcW w:w="1728" w:type="dxa"/>
          </w:tcPr>
          <w:p w14:paraId="319F6D5E" w14:textId="77777777" w:rsidR="005D07EB" w:rsidRPr="00DE1573" w:rsidRDefault="005D07EB">
            <w:pPr>
              <w:pStyle w:val="Heading5"/>
            </w:pPr>
            <w:r w:rsidRPr="00DE1573">
              <w:t>Introduction</w:t>
            </w:r>
          </w:p>
        </w:tc>
        <w:tc>
          <w:tcPr>
            <w:tcW w:w="7740" w:type="dxa"/>
          </w:tcPr>
          <w:p w14:paraId="319F6D5F" w14:textId="041A446A" w:rsidR="005D07EB" w:rsidRPr="00DE1573" w:rsidRDefault="005D07EB">
            <w:pPr>
              <w:pStyle w:val="BlockText"/>
            </w:pPr>
            <w:r w:rsidRPr="00DE1573">
              <w:t xml:space="preserve">This topic contains information on developing claims for </w:t>
            </w:r>
            <w:r w:rsidR="001B5628" w:rsidRPr="00DE1573">
              <w:t>SC</w:t>
            </w:r>
            <w:r w:rsidRPr="00DE1573">
              <w:t xml:space="preserve"> for chronic or tropical diseases, including</w:t>
            </w:r>
          </w:p>
          <w:p w14:paraId="319F6D60" w14:textId="77777777" w:rsidR="005D07EB" w:rsidRPr="00DE1573" w:rsidRDefault="005D07EB">
            <w:pPr>
              <w:pStyle w:val="BlockText"/>
            </w:pPr>
          </w:p>
          <w:p w14:paraId="319F6D61" w14:textId="2AD4DA59" w:rsidR="005D07EB" w:rsidRPr="00DE1573" w:rsidRDefault="005D07EB">
            <w:pPr>
              <w:pStyle w:val="BulletText1"/>
            </w:pPr>
            <w:r w:rsidRPr="00DE1573">
              <w:t>definition of a chronic disease</w:t>
            </w:r>
          </w:p>
          <w:p w14:paraId="319F6D62" w14:textId="77777777" w:rsidR="005D07EB" w:rsidRPr="00DE1573" w:rsidRDefault="005D07EB">
            <w:pPr>
              <w:pStyle w:val="BulletText1"/>
            </w:pPr>
            <w:r w:rsidRPr="00DE1573">
              <w:t>establishing whether a disease is chronic</w:t>
            </w:r>
          </w:p>
          <w:p w14:paraId="319F6D63" w14:textId="77777777" w:rsidR="005D07EB" w:rsidRPr="00DE1573" w:rsidRDefault="005D07EB">
            <w:pPr>
              <w:pStyle w:val="BulletText1"/>
            </w:pPr>
            <w:r w:rsidRPr="00DE1573">
              <w:t xml:space="preserve">considering </w:t>
            </w:r>
          </w:p>
          <w:p w14:paraId="319F6D64" w14:textId="7EBF3F1E" w:rsidR="005D07EB" w:rsidRPr="00DE1573" w:rsidRDefault="001B5628">
            <w:pPr>
              <w:pStyle w:val="BulletText2"/>
            </w:pPr>
            <w:r w:rsidRPr="00DE1573">
              <w:t>SC</w:t>
            </w:r>
            <w:r w:rsidR="005D07EB" w:rsidRPr="00DE1573">
              <w:t xml:space="preserve"> for a chronic or tropical disease, and</w:t>
            </w:r>
          </w:p>
          <w:p w14:paraId="319F6D65" w14:textId="09E54CF9" w:rsidR="005D07EB" w:rsidRPr="00DE1573" w:rsidRDefault="005D07EB">
            <w:pPr>
              <w:pStyle w:val="BulletText2"/>
            </w:pPr>
            <w:r w:rsidRPr="00DE1573">
              <w:t xml:space="preserve">presumptive </w:t>
            </w:r>
            <w:r w:rsidR="001B5628" w:rsidRPr="00DE1573">
              <w:t>SC</w:t>
            </w:r>
          </w:p>
          <w:p w14:paraId="319F6D66" w14:textId="42C93F8E" w:rsidR="005D07EB" w:rsidRPr="00DE1573" w:rsidRDefault="005D07EB">
            <w:pPr>
              <w:pStyle w:val="BulletText1"/>
            </w:pPr>
            <w:r w:rsidRPr="00DE1573">
              <w:t>locations of lists of chronic and tropical diseases, and</w:t>
            </w:r>
          </w:p>
          <w:p w14:paraId="319F6D67" w14:textId="0B166A25" w:rsidR="005D07EB" w:rsidRPr="00DE1573" w:rsidRDefault="005D07EB">
            <w:pPr>
              <w:pStyle w:val="BulletText1"/>
            </w:pPr>
            <w:r w:rsidRPr="00DE1573">
              <w:t>action to take if a</w:t>
            </w:r>
            <w:r w:rsidR="008512B1" w:rsidRPr="00DE1573">
              <w:t xml:space="preserve"> chronic or tropical</w:t>
            </w:r>
            <w:r w:rsidRPr="00DE1573">
              <w:t xml:space="preserve"> disease was </w:t>
            </w:r>
          </w:p>
          <w:p w14:paraId="319F6D68" w14:textId="77777777" w:rsidR="005D07EB" w:rsidRPr="00DE1573" w:rsidRDefault="005D07EB">
            <w:pPr>
              <w:pStyle w:val="BulletText2"/>
            </w:pPr>
            <w:r w:rsidRPr="00DE1573">
              <w:t>treated in service, or</w:t>
            </w:r>
          </w:p>
          <w:p w14:paraId="319F6D69" w14:textId="77777777" w:rsidR="005D07EB" w:rsidRPr="00DE1573" w:rsidRDefault="005D07EB">
            <w:pPr>
              <w:pStyle w:val="BulletText2"/>
            </w:pPr>
            <w:proofErr w:type="gramStart"/>
            <w:r w:rsidRPr="00DE1573">
              <w:t>not</w:t>
            </w:r>
            <w:proofErr w:type="gramEnd"/>
            <w:r w:rsidRPr="00DE1573">
              <w:t xml:space="preserve"> treated in service.</w:t>
            </w:r>
          </w:p>
        </w:tc>
      </w:tr>
    </w:tbl>
    <w:p w14:paraId="319F6D6B" w14:textId="77777777"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6E" w14:textId="77777777">
        <w:trPr>
          <w:cantSplit/>
        </w:trPr>
        <w:tc>
          <w:tcPr>
            <w:tcW w:w="1728" w:type="dxa"/>
          </w:tcPr>
          <w:p w14:paraId="319F6D6C" w14:textId="77777777" w:rsidR="005D07EB" w:rsidRPr="00DE1573" w:rsidRDefault="005D07EB">
            <w:pPr>
              <w:pStyle w:val="Heading5"/>
            </w:pPr>
            <w:r w:rsidRPr="00DE1573">
              <w:t>Change Date</w:t>
            </w:r>
          </w:p>
        </w:tc>
        <w:tc>
          <w:tcPr>
            <w:tcW w:w="7740" w:type="dxa"/>
          </w:tcPr>
          <w:p w14:paraId="319F6D6D" w14:textId="53E0055F" w:rsidR="005D07EB" w:rsidRPr="00DE1573" w:rsidRDefault="006E6101">
            <w:pPr>
              <w:pStyle w:val="BlockText"/>
            </w:pPr>
            <w:r w:rsidRPr="00DE1573">
              <w:t>October 23, 2015</w:t>
            </w:r>
          </w:p>
        </w:tc>
      </w:tr>
    </w:tbl>
    <w:p w14:paraId="319F6D6F" w14:textId="2E33FFFE"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76" w14:textId="77777777">
        <w:trPr>
          <w:cantSplit/>
        </w:trPr>
        <w:tc>
          <w:tcPr>
            <w:tcW w:w="1728" w:type="dxa"/>
          </w:tcPr>
          <w:p w14:paraId="319F6D70" w14:textId="77777777" w:rsidR="005D07EB" w:rsidRPr="00DE1573" w:rsidRDefault="005D07EB">
            <w:pPr>
              <w:pStyle w:val="Heading5"/>
            </w:pPr>
            <w:proofErr w:type="gramStart"/>
            <w:r w:rsidRPr="00DE1573">
              <w:t>a.  Definition</w:t>
            </w:r>
            <w:proofErr w:type="gramEnd"/>
            <w:r w:rsidRPr="00DE1573">
              <w:t>:  Chronic Disease</w:t>
            </w:r>
          </w:p>
        </w:tc>
        <w:tc>
          <w:tcPr>
            <w:tcW w:w="7740" w:type="dxa"/>
          </w:tcPr>
          <w:p w14:paraId="319F6D71" w14:textId="77777777" w:rsidR="005D07EB" w:rsidRPr="00DE1573" w:rsidRDefault="005D07EB">
            <w:pPr>
              <w:pStyle w:val="BlockText"/>
            </w:pPr>
            <w:r w:rsidRPr="00DE1573">
              <w:t xml:space="preserve">A </w:t>
            </w:r>
            <w:r w:rsidRPr="00DE1573">
              <w:rPr>
                <w:b/>
                <w:i/>
              </w:rPr>
              <w:t>chronic</w:t>
            </w:r>
            <w:r w:rsidRPr="00DE1573">
              <w:t xml:space="preserve"> </w:t>
            </w:r>
            <w:r w:rsidRPr="00DE1573">
              <w:rPr>
                <w:b/>
                <w:i/>
              </w:rPr>
              <w:t>disease</w:t>
            </w:r>
            <w:r w:rsidRPr="00DE1573">
              <w:t xml:space="preserve"> is a disease </w:t>
            </w:r>
          </w:p>
          <w:p w14:paraId="319F6D72" w14:textId="77777777" w:rsidR="005D07EB" w:rsidRPr="00DE1573" w:rsidRDefault="005D07EB">
            <w:pPr>
              <w:pStyle w:val="BlockText"/>
            </w:pPr>
          </w:p>
          <w:p w14:paraId="319F6D73" w14:textId="77777777" w:rsidR="005D07EB" w:rsidRPr="00DE1573" w:rsidRDefault="005D07EB">
            <w:pPr>
              <w:pStyle w:val="BulletText1"/>
            </w:pPr>
            <w:r w:rsidRPr="00DE1573">
              <w:t>of prolonged duration, producing incapacitating symptoms of varying degree</w:t>
            </w:r>
          </w:p>
          <w:p w14:paraId="319F6D74" w14:textId="77777777" w:rsidR="005D07EB" w:rsidRPr="00DE1573" w:rsidRDefault="005D07EB">
            <w:pPr>
              <w:pStyle w:val="BulletText1"/>
            </w:pPr>
            <w:r w:rsidRPr="00DE1573">
              <w:t>that may undergo remission, and</w:t>
            </w:r>
          </w:p>
          <w:p w14:paraId="319F6D75" w14:textId="77777777" w:rsidR="005D07EB" w:rsidRPr="00DE1573" w:rsidRDefault="005D07EB">
            <w:pPr>
              <w:pStyle w:val="BulletText1"/>
            </w:pPr>
            <w:proofErr w:type="gramStart"/>
            <w:r w:rsidRPr="00DE1573">
              <w:t>that</w:t>
            </w:r>
            <w:proofErr w:type="gramEnd"/>
            <w:r w:rsidRPr="00DE1573">
              <w:t xml:space="preserve"> is seldom entirely cured with all residuals of damage being completely eradicated.</w:t>
            </w:r>
          </w:p>
        </w:tc>
      </w:tr>
    </w:tbl>
    <w:p w14:paraId="319F6D77" w14:textId="1BF086D2"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7C" w14:textId="77777777">
        <w:trPr>
          <w:cantSplit/>
        </w:trPr>
        <w:tc>
          <w:tcPr>
            <w:tcW w:w="1728" w:type="dxa"/>
          </w:tcPr>
          <w:p w14:paraId="319F6D78" w14:textId="77777777" w:rsidR="005D07EB" w:rsidRPr="00DE1573" w:rsidRDefault="005D07EB">
            <w:pPr>
              <w:pStyle w:val="Heading5"/>
            </w:pPr>
            <w:proofErr w:type="gramStart"/>
            <w:r w:rsidRPr="00DE1573">
              <w:t>b.  Establishing</w:t>
            </w:r>
            <w:proofErr w:type="gramEnd"/>
            <w:r w:rsidRPr="00DE1573">
              <w:t xml:space="preserve"> Whether a Disease Is Chronic</w:t>
            </w:r>
          </w:p>
        </w:tc>
        <w:tc>
          <w:tcPr>
            <w:tcW w:w="7740" w:type="dxa"/>
          </w:tcPr>
          <w:p w14:paraId="319F6D79" w14:textId="77777777" w:rsidR="005D07EB" w:rsidRPr="00DE1573" w:rsidRDefault="005D07EB">
            <w:pPr>
              <w:pStyle w:val="BlockText"/>
            </w:pPr>
            <w:r w:rsidRPr="00DE1573">
              <w:t xml:space="preserve">If a diagnosis is prefaced with the word “chronic,” that does </w:t>
            </w:r>
            <w:r w:rsidRPr="00DE1573">
              <w:rPr>
                <w:i/>
              </w:rPr>
              <w:t>not</w:t>
            </w:r>
            <w:r w:rsidRPr="00DE1573">
              <w:t xml:space="preserve"> necessarily establish the disease as chronic.  </w:t>
            </w:r>
          </w:p>
          <w:p w14:paraId="319F6D7A" w14:textId="77777777" w:rsidR="005D07EB" w:rsidRPr="00DE1573" w:rsidRDefault="005D07EB">
            <w:pPr>
              <w:pStyle w:val="BlockText"/>
            </w:pPr>
          </w:p>
          <w:p w14:paraId="319F6D7B" w14:textId="77777777" w:rsidR="005D07EB" w:rsidRPr="00DE1573" w:rsidRDefault="005D07EB">
            <w:pPr>
              <w:pStyle w:val="BlockText"/>
            </w:pPr>
            <w:r w:rsidRPr="00DE1573">
              <w:rPr>
                <w:b/>
                <w:i/>
              </w:rPr>
              <w:t>Important</w:t>
            </w:r>
            <w:r w:rsidRPr="00DE1573">
              <w:t>:  Whether a disease is chronic is a matter for a factual determination dependent on the nature of the disease and its manifestations.  Some diseases are inherently chronic, such as multiple sclerosis, while others, such as bronchitis, may be either acute or chronic.</w:t>
            </w:r>
          </w:p>
        </w:tc>
      </w:tr>
    </w:tbl>
    <w:p w14:paraId="319F6D7F" w14:textId="63C656CB"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85" w14:textId="77777777">
        <w:trPr>
          <w:cantSplit/>
        </w:trPr>
        <w:tc>
          <w:tcPr>
            <w:tcW w:w="1728" w:type="dxa"/>
          </w:tcPr>
          <w:p w14:paraId="319F6D80" w14:textId="086A02D5" w:rsidR="005D07EB" w:rsidRPr="00DE1573" w:rsidRDefault="005D07EB">
            <w:pPr>
              <w:pStyle w:val="Heading5"/>
            </w:pPr>
            <w:proofErr w:type="gramStart"/>
            <w:r w:rsidRPr="00DE1573">
              <w:t>c.  Considering</w:t>
            </w:r>
            <w:proofErr w:type="gramEnd"/>
            <w:r w:rsidRPr="00DE1573">
              <w:t xml:space="preserve"> SC for a Chronic or Tropical Disease</w:t>
            </w:r>
          </w:p>
        </w:tc>
        <w:tc>
          <w:tcPr>
            <w:tcW w:w="7740" w:type="dxa"/>
          </w:tcPr>
          <w:p w14:paraId="319F6D81" w14:textId="65FB5435" w:rsidR="005D07EB" w:rsidRPr="00DE1573" w:rsidRDefault="005D07EB">
            <w:pPr>
              <w:pStyle w:val="BlockText"/>
            </w:pPr>
            <w:r w:rsidRPr="00DE1573">
              <w:t xml:space="preserve">When deciding any claim for </w:t>
            </w:r>
            <w:r w:rsidR="001B5628" w:rsidRPr="00DE1573">
              <w:t>SC</w:t>
            </w:r>
            <w:r w:rsidRPr="00DE1573">
              <w:t xml:space="preserve"> for a chronic or tropical disease, it is also necessary to consider</w:t>
            </w:r>
          </w:p>
          <w:p w14:paraId="319F6D82" w14:textId="77777777" w:rsidR="005D07EB" w:rsidRPr="00DE1573" w:rsidRDefault="005D07EB">
            <w:pPr>
              <w:pStyle w:val="BlockText"/>
            </w:pPr>
          </w:p>
          <w:p w14:paraId="319F6D83" w14:textId="75DA633F" w:rsidR="005D07EB" w:rsidRPr="00DE1573" w:rsidRDefault="001B5628">
            <w:pPr>
              <w:pStyle w:val="BulletText1"/>
            </w:pPr>
            <w:r w:rsidRPr="00DE1573">
              <w:t>SC</w:t>
            </w:r>
            <w:r w:rsidR="005D07EB" w:rsidRPr="00DE1573">
              <w:t xml:space="preserve"> based on manifestation of the claimed disease during service, and</w:t>
            </w:r>
          </w:p>
          <w:p w14:paraId="319F6D84" w14:textId="6586A361" w:rsidR="005D07EB" w:rsidRPr="00DE1573" w:rsidRDefault="001B5628">
            <w:pPr>
              <w:pStyle w:val="BulletText1"/>
            </w:pPr>
            <w:r w:rsidRPr="00DE1573">
              <w:t>SC</w:t>
            </w:r>
            <w:r w:rsidR="005D07EB" w:rsidRPr="00DE1573">
              <w:t xml:space="preserve"> based on a presumption that the disease, which was first manifested following discharge from service, is nevertheless related to service.</w:t>
            </w:r>
          </w:p>
        </w:tc>
      </w:tr>
    </w:tbl>
    <w:p w14:paraId="319F6D86" w14:textId="41AA4171"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8F" w14:textId="77777777">
        <w:trPr>
          <w:cantSplit/>
        </w:trPr>
        <w:tc>
          <w:tcPr>
            <w:tcW w:w="1728" w:type="dxa"/>
          </w:tcPr>
          <w:p w14:paraId="319F6D87" w14:textId="2151E261" w:rsidR="005D07EB" w:rsidRPr="00DE1573" w:rsidRDefault="005D07EB">
            <w:pPr>
              <w:pStyle w:val="Heading5"/>
            </w:pPr>
            <w:proofErr w:type="gramStart"/>
            <w:r w:rsidRPr="00DE1573">
              <w:lastRenderedPageBreak/>
              <w:t>d.  Considering</w:t>
            </w:r>
            <w:proofErr w:type="gramEnd"/>
            <w:r w:rsidRPr="00DE1573">
              <w:t xml:space="preserve"> Presumptive SC</w:t>
            </w:r>
          </w:p>
        </w:tc>
        <w:tc>
          <w:tcPr>
            <w:tcW w:w="7740" w:type="dxa"/>
          </w:tcPr>
          <w:p w14:paraId="319F6D88" w14:textId="5D66737C" w:rsidR="005D07EB" w:rsidRPr="00DE1573" w:rsidRDefault="005D07EB">
            <w:pPr>
              <w:pStyle w:val="BlockText"/>
            </w:pPr>
            <w:r w:rsidRPr="00DE1573">
              <w:t>Once a substantially complete claim is of</w:t>
            </w:r>
            <w:r w:rsidRPr="00DE1573">
              <w:rPr>
                <w:i/>
              </w:rPr>
              <w:t xml:space="preserve"> </w:t>
            </w:r>
            <w:r w:rsidRPr="00DE1573">
              <w:t xml:space="preserve">record, the following conditions apply   </w:t>
            </w:r>
          </w:p>
          <w:p w14:paraId="319F6D89" w14:textId="77777777" w:rsidR="005D07EB" w:rsidRPr="00DE1573" w:rsidRDefault="005D07EB">
            <w:pPr>
              <w:pStyle w:val="BlockText"/>
            </w:pPr>
          </w:p>
          <w:p w14:paraId="319F6D8A" w14:textId="3E694A7E" w:rsidR="005D07EB" w:rsidRPr="00DE1573" w:rsidRDefault="005D07EB">
            <w:pPr>
              <w:pStyle w:val="BulletText1"/>
            </w:pPr>
            <w:r w:rsidRPr="00DE1573">
              <w:t xml:space="preserve">the possibility of entitlement to presumptive </w:t>
            </w:r>
            <w:r w:rsidR="001B5628" w:rsidRPr="00DE1573">
              <w:t>SC</w:t>
            </w:r>
            <w:r w:rsidRPr="00DE1573">
              <w:t xml:space="preserve"> exists when the </w:t>
            </w:r>
            <w:r w:rsidR="00C87AE0" w:rsidRPr="00DE1573">
              <w:t>Veteran</w:t>
            </w:r>
            <w:r w:rsidRPr="00DE1573">
              <w:t xml:space="preserve"> alleges inception within the limiting periods contained in </w:t>
            </w:r>
          </w:p>
          <w:p w14:paraId="319F6D8B" w14:textId="7A0DD844" w:rsidR="005D07EB" w:rsidRPr="00DE1573" w:rsidRDefault="00D872BE">
            <w:pPr>
              <w:pStyle w:val="BulletText2"/>
            </w:pPr>
            <w:hyperlink r:id="rId13" w:history="1">
              <w:r w:rsidR="00C87AE0" w:rsidRPr="00DE1573">
                <w:rPr>
                  <w:rStyle w:val="Hyperlink"/>
                </w:rPr>
                <w:t>38 U.S.C.</w:t>
              </w:r>
              <w:r w:rsidR="005D07EB" w:rsidRPr="00DE1573">
                <w:rPr>
                  <w:rStyle w:val="Hyperlink"/>
                </w:rPr>
                <w:t xml:space="preserve"> 1112</w:t>
              </w:r>
            </w:hyperlink>
            <w:r w:rsidR="005D07EB" w:rsidRPr="00DE1573">
              <w:t>, or</w:t>
            </w:r>
          </w:p>
          <w:p w14:paraId="319F6D8C" w14:textId="543AED6B" w:rsidR="005D07EB" w:rsidRPr="00DE1573" w:rsidRDefault="00D872BE">
            <w:pPr>
              <w:pStyle w:val="BulletText2"/>
            </w:pPr>
            <w:hyperlink r:id="rId14" w:history="1">
              <w:r w:rsidR="00C87AE0" w:rsidRPr="00DE1573">
                <w:rPr>
                  <w:rStyle w:val="Hyperlink"/>
                </w:rPr>
                <w:t>38 U.S.C.</w:t>
              </w:r>
              <w:r w:rsidR="005D07EB" w:rsidRPr="00DE1573">
                <w:rPr>
                  <w:rStyle w:val="Hyperlink"/>
                </w:rPr>
                <w:t xml:space="preserve"> 1133</w:t>
              </w:r>
            </w:hyperlink>
            <w:r w:rsidR="005D07EB" w:rsidRPr="00DE1573">
              <w:t>, when appropriate</w:t>
            </w:r>
          </w:p>
          <w:p w14:paraId="319F6D8D" w14:textId="77777777" w:rsidR="005D07EB" w:rsidRPr="00DE1573" w:rsidRDefault="005D07EB">
            <w:pPr>
              <w:pStyle w:val="BulletText1"/>
            </w:pPr>
            <w:r w:rsidRPr="00DE1573">
              <w:t xml:space="preserve">the </w:t>
            </w:r>
            <w:r w:rsidR="00C87AE0" w:rsidRPr="00DE1573">
              <w:t>Veteran</w:t>
            </w:r>
            <w:r w:rsidRPr="00DE1573">
              <w:t xml:space="preserve"> does not need to establish that the disease in question was definitely diagnosed within the presumptive period, and</w:t>
            </w:r>
          </w:p>
          <w:p w14:paraId="319F6D8E" w14:textId="26511754" w:rsidR="005D07EB" w:rsidRPr="00DE1573" w:rsidRDefault="005D07EB">
            <w:pPr>
              <w:pStyle w:val="BulletText1"/>
            </w:pPr>
            <w:proofErr w:type="gramStart"/>
            <w:r w:rsidRPr="00DE1573">
              <w:t>the</w:t>
            </w:r>
            <w:proofErr w:type="gramEnd"/>
            <w:r w:rsidRPr="00DE1573">
              <w:t xml:space="preserve"> evidence should show that manifestations of the condition, disabling to the degree of at least 10 percent, became apparent prior to the expiration of the presumptive period shown in </w:t>
            </w:r>
            <w:hyperlink r:id="rId15" w:history="1">
              <w:r w:rsidR="00C87AE0" w:rsidRPr="00DE1573">
                <w:rPr>
                  <w:rStyle w:val="Hyperlink"/>
                </w:rPr>
                <w:t>38 CFR</w:t>
              </w:r>
              <w:r w:rsidRPr="00DE1573">
                <w:rPr>
                  <w:rStyle w:val="Hyperlink"/>
                </w:rPr>
                <w:t xml:space="preserve"> 3.307</w:t>
              </w:r>
            </w:hyperlink>
            <w:r w:rsidRPr="00DE1573">
              <w:t xml:space="preserve">.  </w:t>
            </w:r>
          </w:p>
        </w:tc>
      </w:tr>
    </w:tbl>
    <w:p w14:paraId="319F6D90" w14:textId="685B9392"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96" w14:textId="77777777" w:rsidTr="00526066">
        <w:tc>
          <w:tcPr>
            <w:tcW w:w="1728" w:type="dxa"/>
          </w:tcPr>
          <w:p w14:paraId="319F6D91" w14:textId="77777777" w:rsidR="005D07EB" w:rsidRPr="00DE1573" w:rsidRDefault="005D07EB">
            <w:pPr>
              <w:pStyle w:val="Heading5"/>
            </w:pPr>
            <w:proofErr w:type="gramStart"/>
            <w:r w:rsidRPr="00DE1573">
              <w:t>e.  Locations</w:t>
            </w:r>
            <w:proofErr w:type="gramEnd"/>
            <w:r w:rsidRPr="00DE1573">
              <w:t xml:space="preserve"> of Lists of Chronic and Tropical Diseases</w:t>
            </w:r>
          </w:p>
        </w:tc>
        <w:tc>
          <w:tcPr>
            <w:tcW w:w="7740" w:type="dxa"/>
          </w:tcPr>
          <w:p w14:paraId="319F6D92" w14:textId="77777777" w:rsidR="005D07EB" w:rsidRPr="00DE1573" w:rsidRDefault="005D07EB">
            <w:pPr>
              <w:pStyle w:val="BlockText"/>
            </w:pPr>
            <w:r w:rsidRPr="00DE1573">
              <w:t xml:space="preserve">The conditions listed in </w:t>
            </w:r>
          </w:p>
          <w:p w14:paraId="319F6D93" w14:textId="77777777" w:rsidR="005D07EB" w:rsidRPr="00DE1573" w:rsidRDefault="005D07EB">
            <w:pPr>
              <w:pStyle w:val="BlockText"/>
            </w:pPr>
          </w:p>
          <w:p w14:paraId="319F6D94" w14:textId="7D82560D" w:rsidR="005D07EB" w:rsidRPr="00DE1573" w:rsidRDefault="00D872BE">
            <w:pPr>
              <w:pStyle w:val="BulletText1"/>
            </w:pPr>
            <w:hyperlink r:id="rId16" w:history="1">
              <w:r w:rsidR="00C87AE0" w:rsidRPr="00DE1573">
                <w:rPr>
                  <w:rStyle w:val="Hyperlink"/>
                </w:rPr>
                <w:t>38 U.S.C.</w:t>
              </w:r>
              <w:r w:rsidR="005D07EB" w:rsidRPr="00DE1573">
                <w:rPr>
                  <w:rStyle w:val="Hyperlink"/>
                </w:rPr>
                <w:t xml:space="preserve"> 1101(3)</w:t>
              </w:r>
            </w:hyperlink>
            <w:r w:rsidR="005D07EB" w:rsidRPr="00DE1573">
              <w:t xml:space="preserve"> and </w:t>
            </w:r>
            <w:hyperlink r:id="rId17" w:history="1">
              <w:r w:rsidR="00C87AE0" w:rsidRPr="00DE1573">
                <w:rPr>
                  <w:rStyle w:val="Hyperlink"/>
                </w:rPr>
                <w:t>38 CFR</w:t>
              </w:r>
              <w:r w:rsidR="005D07EB" w:rsidRPr="00DE1573">
                <w:rPr>
                  <w:rStyle w:val="Hyperlink"/>
                </w:rPr>
                <w:t xml:space="preserve"> 3.309(a)</w:t>
              </w:r>
            </w:hyperlink>
            <w:r w:rsidR="005D07EB" w:rsidRPr="00DE1573">
              <w:t xml:space="preserve"> are chronic diseases, and</w:t>
            </w:r>
          </w:p>
          <w:p w14:paraId="319F6D95" w14:textId="66E75D06" w:rsidR="005D07EB" w:rsidRPr="00DE1573" w:rsidRDefault="00D872BE">
            <w:pPr>
              <w:pStyle w:val="BulletText1"/>
            </w:pPr>
            <w:hyperlink r:id="rId18" w:history="1">
              <w:r w:rsidR="00C87AE0" w:rsidRPr="00DE1573">
                <w:rPr>
                  <w:rStyle w:val="Hyperlink"/>
                </w:rPr>
                <w:t>38 U.S.C.</w:t>
              </w:r>
              <w:r w:rsidR="005D07EB" w:rsidRPr="00DE1573">
                <w:rPr>
                  <w:rStyle w:val="Hyperlink"/>
                </w:rPr>
                <w:t xml:space="preserve"> 1101(4)</w:t>
              </w:r>
            </w:hyperlink>
            <w:r w:rsidR="005D07EB" w:rsidRPr="00DE1573">
              <w:t xml:space="preserve"> and </w:t>
            </w:r>
            <w:hyperlink r:id="rId19" w:history="1">
              <w:r w:rsidR="00C87AE0" w:rsidRPr="00DE1573">
                <w:rPr>
                  <w:rStyle w:val="Hyperlink"/>
                </w:rPr>
                <w:t>38 CFR</w:t>
              </w:r>
              <w:r w:rsidR="005D07EB" w:rsidRPr="00DE1573">
                <w:rPr>
                  <w:rStyle w:val="Hyperlink"/>
                </w:rPr>
                <w:t xml:space="preserve"> 3.309(b)</w:t>
              </w:r>
            </w:hyperlink>
            <w:r w:rsidR="005D07EB" w:rsidRPr="00DE1573">
              <w:t xml:space="preserve"> are tropical diseases.</w:t>
            </w:r>
          </w:p>
        </w:tc>
      </w:tr>
    </w:tbl>
    <w:p w14:paraId="319F6D97" w14:textId="1C39330A"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D9A" w14:textId="77777777" w:rsidTr="00526066">
        <w:tc>
          <w:tcPr>
            <w:tcW w:w="1728" w:type="dxa"/>
          </w:tcPr>
          <w:p w14:paraId="319F6D98" w14:textId="5967C8CB" w:rsidR="005D07EB" w:rsidRPr="00DE1573" w:rsidRDefault="005D07EB">
            <w:pPr>
              <w:pStyle w:val="Heading5"/>
            </w:pPr>
            <w:proofErr w:type="gramStart"/>
            <w:r w:rsidRPr="00DE1573">
              <w:t>f.  Action</w:t>
            </w:r>
            <w:proofErr w:type="gramEnd"/>
            <w:r w:rsidRPr="00DE1573">
              <w:t xml:space="preserve"> to Take if a </w:t>
            </w:r>
            <w:r w:rsidR="008512B1" w:rsidRPr="00DE1573">
              <w:t xml:space="preserve">Chronic or Tropical </w:t>
            </w:r>
            <w:r w:rsidR="003318F9" w:rsidRPr="00DE1573">
              <w:t>Disease</w:t>
            </w:r>
            <w:r w:rsidRPr="00DE1573">
              <w:t xml:space="preserve"> Was Treated in Service </w:t>
            </w:r>
          </w:p>
        </w:tc>
        <w:tc>
          <w:tcPr>
            <w:tcW w:w="7740" w:type="dxa"/>
          </w:tcPr>
          <w:p w14:paraId="319F6D99" w14:textId="1ABAC9A5" w:rsidR="005D07EB" w:rsidRPr="00DE1573" w:rsidRDefault="00CA6EFF" w:rsidP="00CA6EFF">
            <w:pPr>
              <w:pStyle w:val="BlockText"/>
            </w:pPr>
            <w:r w:rsidRPr="00DE1573">
              <w:t xml:space="preserve">Follow the </w:t>
            </w:r>
            <w:r w:rsidR="005A17CC" w:rsidRPr="00DE1573">
              <w:t xml:space="preserve">instructions in the </w:t>
            </w:r>
            <w:r w:rsidRPr="00DE1573">
              <w:t xml:space="preserve">table below when </w:t>
            </w:r>
            <w:r w:rsidR="005D07EB" w:rsidRPr="00DE1573">
              <w:t xml:space="preserve">service records show the </w:t>
            </w:r>
            <w:r w:rsidR="00C87AE0" w:rsidRPr="00DE1573">
              <w:t>Veteran</w:t>
            </w:r>
            <w:r w:rsidR="005D07EB" w:rsidRPr="00DE1573">
              <w:t xml:space="preserve"> was treated for a chronic or tropical disease.</w:t>
            </w:r>
          </w:p>
        </w:tc>
      </w:tr>
    </w:tbl>
    <w:p w14:paraId="319F6D9D" w14:textId="74EDA65B" w:rsidR="005D07EB" w:rsidRPr="00DE1573" w:rsidRDefault="005D07EB" w:rsidP="00CA6EFF"/>
    <w:tbl>
      <w:tblPr>
        <w:tblStyle w:val="TableGrid"/>
        <w:tblW w:w="7650" w:type="dxa"/>
        <w:tblInd w:w="1818" w:type="dxa"/>
        <w:tblLook w:val="04A0" w:firstRow="1" w:lastRow="0" w:firstColumn="1" w:lastColumn="0" w:noHBand="0" w:noVBand="1"/>
      </w:tblPr>
      <w:tblGrid>
        <w:gridCol w:w="3870"/>
        <w:gridCol w:w="3780"/>
      </w:tblGrid>
      <w:tr w:rsidR="00CA6EFF" w:rsidRPr="00DE1573" w14:paraId="18BF2CA0" w14:textId="77777777" w:rsidTr="00CA6EFF">
        <w:tc>
          <w:tcPr>
            <w:tcW w:w="3870" w:type="dxa"/>
          </w:tcPr>
          <w:p w14:paraId="3F2B3A84" w14:textId="3911DA87" w:rsidR="00CA6EFF" w:rsidRPr="00DE1573" w:rsidRDefault="00CA6EFF" w:rsidP="00CA6EFF">
            <w:pPr>
              <w:rPr>
                <w:b/>
              </w:rPr>
            </w:pPr>
            <w:r w:rsidRPr="00DE1573">
              <w:rPr>
                <w:b/>
              </w:rPr>
              <w:t>If the Veteran ...</w:t>
            </w:r>
          </w:p>
        </w:tc>
        <w:tc>
          <w:tcPr>
            <w:tcW w:w="3780" w:type="dxa"/>
          </w:tcPr>
          <w:p w14:paraId="7870C193" w14:textId="56ED8B92" w:rsidR="00CA6EFF" w:rsidRPr="00DE1573" w:rsidRDefault="00CA6EFF" w:rsidP="00CA6EFF">
            <w:pPr>
              <w:rPr>
                <w:b/>
              </w:rPr>
            </w:pPr>
            <w:r w:rsidRPr="00DE1573">
              <w:rPr>
                <w:b/>
              </w:rPr>
              <w:t>Then ...</w:t>
            </w:r>
          </w:p>
        </w:tc>
      </w:tr>
      <w:tr w:rsidR="00CA6EFF" w:rsidRPr="00DE1573" w14:paraId="77289052" w14:textId="77777777" w:rsidTr="00CA6EFF">
        <w:tc>
          <w:tcPr>
            <w:tcW w:w="3870" w:type="dxa"/>
          </w:tcPr>
          <w:p w14:paraId="791FB224" w14:textId="5CD1D776" w:rsidR="00CA6EFF" w:rsidRPr="00DE1573" w:rsidRDefault="00CA6EFF" w:rsidP="00737F76">
            <w:r w:rsidRPr="00DE1573">
              <w:t>file</w:t>
            </w:r>
            <w:r w:rsidR="00737F76" w:rsidRPr="00DE1573">
              <w:t>s a substantially complete</w:t>
            </w:r>
            <w:r w:rsidRPr="00DE1573">
              <w:t xml:space="preserve"> claim for the condition</w:t>
            </w:r>
          </w:p>
        </w:tc>
        <w:tc>
          <w:tcPr>
            <w:tcW w:w="3780" w:type="dxa"/>
          </w:tcPr>
          <w:p w14:paraId="5001FBE0" w14:textId="00B40E34" w:rsidR="00CA6EFF" w:rsidRPr="00DE1573" w:rsidRDefault="00CA6EFF" w:rsidP="00CA6EFF">
            <w:proofErr w:type="gramStart"/>
            <w:r w:rsidRPr="00DE1573">
              <w:t>refer</w:t>
            </w:r>
            <w:proofErr w:type="gramEnd"/>
            <w:r w:rsidRPr="00DE1573">
              <w:t xml:space="preserve"> the case to the rating activity.</w:t>
            </w:r>
          </w:p>
        </w:tc>
      </w:tr>
      <w:tr w:rsidR="00CA6EFF" w:rsidRPr="00DE1573" w14:paraId="5E6EDBE8" w14:textId="77777777" w:rsidTr="00CA6EFF">
        <w:tc>
          <w:tcPr>
            <w:tcW w:w="3870" w:type="dxa"/>
          </w:tcPr>
          <w:p w14:paraId="6A3592B9" w14:textId="16918648" w:rsidR="00CA6EFF" w:rsidRPr="00DE1573" w:rsidRDefault="00CA6EFF" w:rsidP="00CA6EFF">
            <w:r w:rsidRPr="00DE1573">
              <w:t>did not file a claim for the condition</w:t>
            </w:r>
          </w:p>
        </w:tc>
        <w:tc>
          <w:tcPr>
            <w:tcW w:w="3780" w:type="dxa"/>
          </w:tcPr>
          <w:p w14:paraId="244AA37E" w14:textId="67D94422" w:rsidR="00CA6EFF" w:rsidRPr="00DE1573" w:rsidRDefault="00CA6EFF" w:rsidP="00CA6EFF">
            <w:proofErr w:type="gramStart"/>
            <w:r w:rsidRPr="00DE1573">
              <w:t>solicit</w:t>
            </w:r>
            <w:proofErr w:type="gramEnd"/>
            <w:r w:rsidRPr="00DE1573">
              <w:t xml:space="preserve"> a claim.</w:t>
            </w:r>
          </w:p>
        </w:tc>
      </w:tr>
    </w:tbl>
    <w:p w14:paraId="5C13F17C" w14:textId="721044AA" w:rsidR="00CA6EFF" w:rsidRPr="00DE1573" w:rsidRDefault="00CA6EFF" w:rsidP="00CA6EFF"/>
    <w:tbl>
      <w:tblPr>
        <w:tblStyle w:val="TableGrid"/>
        <w:tblW w:w="7740"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CA6EFF" w:rsidRPr="00DE1573" w14:paraId="45F91B78" w14:textId="77777777" w:rsidTr="00CA6EFF">
        <w:tc>
          <w:tcPr>
            <w:tcW w:w="7740" w:type="dxa"/>
            <w:shd w:val="clear" w:color="auto" w:fill="auto"/>
          </w:tcPr>
          <w:p w14:paraId="624957E1" w14:textId="77777777" w:rsidR="005B29A6" w:rsidRPr="00DE1573" w:rsidRDefault="00CA6EFF" w:rsidP="00CA6EFF">
            <w:r w:rsidRPr="00DE1573">
              <w:rPr>
                <w:b/>
                <w:i/>
              </w:rPr>
              <w:t>Reference</w:t>
            </w:r>
            <w:r w:rsidRPr="00DE1573">
              <w:t xml:space="preserve">:  For more information on </w:t>
            </w:r>
          </w:p>
          <w:p w14:paraId="218E96F8" w14:textId="7FC167C0" w:rsidR="005B29A6" w:rsidRPr="00DE1573" w:rsidRDefault="005B29A6" w:rsidP="0061795F">
            <w:pPr>
              <w:pStyle w:val="ListParagraph"/>
              <w:numPr>
                <w:ilvl w:val="0"/>
                <w:numId w:val="41"/>
              </w:numPr>
              <w:ind w:left="158" w:hanging="187"/>
            </w:pPr>
            <w:r w:rsidRPr="00DE1573">
              <w:t>what constitutes a substantially complete claim, see</w:t>
            </w:r>
          </w:p>
          <w:p w14:paraId="7642763E" w14:textId="77777777" w:rsidR="005B29A6" w:rsidRPr="00DE1573" w:rsidRDefault="005B29A6" w:rsidP="0061795F">
            <w:pPr>
              <w:pStyle w:val="ListParagraph"/>
              <w:numPr>
                <w:ilvl w:val="0"/>
                <w:numId w:val="42"/>
              </w:numPr>
              <w:ind w:left="346" w:hanging="187"/>
            </w:pPr>
            <w:r w:rsidRPr="00DE1573">
              <w:t>M21-1, Part I, 1.B.1.b, and</w:t>
            </w:r>
          </w:p>
          <w:p w14:paraId="362F36A3" w14:textId="77777777" w:rsidR="005B29A6" w:rsidRPr="00DE1573" w:rsidRDefault="00D872BE" w:rsidP="0061795F">
            <w:pPr>
              <w:pStyle w:val="ListParagraph"/>
              <w:numPr>
                <w:ilvl w:val="0"/>
                <w:numId w:val="43"/>
              </w:numPr>
              <w:ind w:left="346" w:hanging="187"/>
              <w:rPr>
                <w:rStyle w:val="Hyperlink"/>
                <w:color w:val="000000"/>
                <w:u w:val="none"/>
              </w:rPr>
            </w:pPr>
            <w:hyperlink r:id="rId20" w:history="1">
              <w:r w:rsidR="005B29A6" w:rsidRPr="00DE1573">
                <w:rPr>
                  <w:rStyle w:val="Hyperlink"/>
                </w:rPr>
                <w:t>38 CFR 3.159(a)(3)</w:t>
              </w:r>
            </w:hyperlink>
            <w:r w:rsidR="005B29A6" w:rsidRPr="00DE1573">
              <w:rPr>
                <w:rStyle w:val="Hyperlink"/>
                <w:color w:val="auto"/>
                <w:u w:val="none"/>
              </w:rPr>
              <w:t>, and</w:t>
            </w:r>
          </w:p>
          <w:p w14:paraId="59164244" w14:textId="4C4FDDEF" w:rsidR="00CA6EFF" w:rsidRPr="00DE1573" w:rsidRDefault="00CA6EFF" w:rsidP="0061795F">
            <w:pPr>
              <w:pStyle w:val="ListParagraph"/>
              <w:numPr>
                <w:ilvl w:val="0"/>
                <w:numId w:val="44"/>
              </w:numPr>
              <w:ind w:left="158" w:hanging="187"/>
            </w:pPr>
            <w:proofErr w:type="gramStart"/>
            <w:r w:rsidRPr="00DE1573">
              <w:t>soliciting</w:t>
            </w:r>
            <w:proofErr w:type="gramEnd"/>
            <w:r w:rsidRPr="00DE1573">
              <w:t xml:space="preserve"> claims for chronic, unclaimed disabilities, see M21-1, Part IV, Subpart ii, 2.A.1.f.</w:t>
            </w:r>
          </w:p>
        </w:tc>
      </w:tr>
    </w:tbl>
    <w:p w14:paraId="75272BC9" w14:textId="3C966B98" w:rsidR="00CA6EFF" w:rsidRPr="00DE1573" w:rsidRDefault="00CA6EFF" w:rsidP="00CA6EFF">
      <w:pPr>
        <w:tabs>
          <w:tab w:val="left" w:pos="9360"/>
        </w:tabs>
        <w:ind w:left="1714"/>
      </w:pPr>
      <w:r w:rsidRPr="00DE1573">
        <w:rPr>
          <w:u w:val="single"/>
        </w:rPr>
        <w:tab/>
      </w:r>
    </w:p>
    <w:p w14:paraId="56F0F4D6" w14:textId="77777777" w:rsidR="00CA6EFF" w:rsidRPr="00DE1573" w:rsidRDefault="00CA6EFF" w:rsidP="00CA6EFF"/>
    <w:tbl>
      <w:tblPr>
        <w:tblW w:w="0" w:type="auto"/>
        <w:tblLayout w:type="fixed"/>
        <w:tblLook w:val="0000" w:firstRow="0" w:lastRow="0" w:firstColumn="0" w:lastColumn="0" w:noHBand="0" w:noVBand="0"/>
      </w:tblPr>
      <w:tblGrid>
        <w:gridCol w:w="1728"/>
        <w:gridCol w:w="7740"/>
      </w:tblGrid>
      <w:tr w:rsidR="005D07EB" w:rsidRPr="00DE1573" w14:paraId="319F6DA6" w14:textId="77777777" w:rsidTr="006E6101">
        <w:tc>
          <w:tcPr>
            <w:tcW w:w="1728" w:type="dxa"/>
          </w:tcPr>
          <w:p w14:paraId="319F6D9E" w14:textId="3B317AAF" w:rsidR="005D07EB" w:rsidRPr="00DE1573" w:rsidRDefault="005D07EB">
            <w:pPr>
              <w:pStyle w:val="Heading5"/>
            </w:pPr>
            <w:proofErr w:type="gramStart"/>
            <w:r w:rsidRPr="00DE1573">
              <w:t>g.  Action</w:t>
            </w:r>
            <w:proofErr w:type="gramEnd"/>
            <w:r w:rsidRPr="00DE1573">
              <w:t xml:space="preserve"> to Take </w:t>
            </w:r>
            <w:r w:rsidR="00F466B5" w:rsidRPr="00DE1573">
              <w:t>i</w:t>
            </w:r>
            <w:r w:rsidRPr="00DE1573">
              <w:t xml:space="preserve">f a </w:t>
            </w:r>
            <w:r w:rsidR="008512B1" w:rsidRPr="00DE1573">
              <w:t xml:space="preserve">Chronic or Tropical </w:t>
            </w:r>
            <w:r w:rsidRPr="00DE1573">
              <w:t xml:space="preserve">Disease Was Not Treated in Service </w:t>
            </w:r>
          </w:p>
        </w:tc>
        <w:tc>
          <w:tcPr>
            <w:tcW w:w="7740" w:type="dxa"/>
          </w:tcPr>
          <w:p w14:paraId="319F6D9F" w14:textId="743C6496" w:rsidR="005D07EB" w:rsidRPr="00DE1573" w:rsidRDefault="005D07EB">
            <w:pPr>
              <w:pStyle w:val="BlockText"/>
            </w:pPr>
            <w:r w:rsidRPr="00DE1573">
              <w:t xml:space="preserve">Even though certain chronic and tropical diseases were </w:t>
            </w:r>
            <w:r w:rsidRPr="00DE1573">
              <w:rPr>
                <w:iCs/>
              </w:rPr>
              <w:t>not</w:t>
            </w:r>
            <w:r w:rsidRPr="00DE1573">
              <w:t xml:space="preserve"> treated during service, </w:t>
            </w:r>
            <w:r w:rsidR="001B5628" w:rsidRPr="00DE1573">
              <w:t>SC</w:t>
            </w:r>
            <w:r w:rsidRPr="00DE1573">
              <w:t xml:space="preserve"> may still be established on a presumptive basis under the provisions of</w:t>
            </w:r>
          </w:p>
          <w:p w14:paraId="319F6DA0" w14:textId="77777777" w:rsidR="005D07EB" w:rsidRPr="00DE1573" w:rsidRDefault="005D07EB">
            <w:pPr>
              <w:pStyle w:val="BlockText"/>
            </w:pPr>
          </w:p>
          <w:p w14:paraId="319F6DA1" w14:textId="77777777" w:rsidR="005D07EB" w:rsidRPr="00DE1573" w:rsidRDefault="00D872BE">
            <w:pPr>
              <w:pStyle w:val="BulletText1"/>
            </w:pPr>
            <w:hyperlink r:id="rId21" w:history="1">
              <w:r w:rsidR="00C87AE0" w:rsidRPr="00DE1573">
                <w:rPr>
                  <w:rStyle w:val="Hyperlink"/>
                </w:rPr>
                <w:t>38 U.S.C.</w:t>
              </w:r>
              <w:r w:rsidR="005D07EB" w:rsidRPr="00DE1573">
                <w:rPr>
                  <w:rStyle w:val="Hyperlink"/>
                </w:rPr>
                <w:t xml:space="preserve"> 1112</w:t>
              </w:r>
            </w:hyperlink>
          </w:p>
          <w:p w14:paraId="319F6DA2" w14:textId="77777777" w:rsidR="005D07EB" w:rsidRPr="00DE1573" w:rsidRDefault="00D872BE">
            <w:pPr>
              <w:pStyle w:val="BulletText1"/>
            </w:pPr>
            <w:hyperlink r:id="rId22" w:history="1">
              <w:r w:rsidR="00C87AE0" w:rsidRPr="00DE1573">
                <w:rPr>
                  <w:rStyle w:val="Hyperlink"/>
                </w:rPr>
                <w:t>38 U.S.C.</w:t>
              </w:r>
              <w:r w:rsidR="005D07EB" w:rsidRPr="00DE1573">
                <w:rPr>
                  <w:rStyle w:val="Hyperlink"/>
                </w:rPr>
                <w:t xml:space="preserve"> 1133</w:t>
              </w:r>
            </w:hyperlink>
            <w:r w:rsidR="005D07EB" w:rsidRPr="00DE1573">
              <w:t>, or</w:t>
            </w:r>
          </w:p>
          <w:p w14:paraId="319F6DA3" w14:textId="77777777" w:rsidR="005D07EB" w:rsidRPr="00DE1573" w:rsidRDefault="00D872BE">
            <w:pPr>
              <w:pStyle w:val="BulletText1"/>
            </w:pPr>
            <w:hyperlink r:id="rId23" w:history="1">
              <w:r w:rsidR="00C87AE0" w:rsidRPr="00DE1573">
                <w:rPr>
                  <w:rStyle w:val="Hyperlink"/>
                </w:rPr>
                <w:t>38 U.S.C.</w:t>
              </w:r>
              <w:r w:rsidR="005D07EB" w:rsidRPr="00DE1573">
                <w:rPr>
                  <w:rStyle w:val="Hyperlink"/>
                </w:rPr>
                <w:t xml:space="preserve"> 1137</w:t>
              </w:r>
            </w:hyperlink>
            <w:r w:rsidR="005D07EB" w:rsidRPr="00DE1573">
              <w:t xml:space="preserve">.  </w:t>
            </w:r>
          </w:p>
          <w:p w14:paraId="319F6DA4" w14:textId="77777777" w:rsidR="005D07EB" w:rsidRPr="00DE1573" w:rsidRDefault="005D07EB">
            <w:pPr>
              <w:pStyle w:val="BlockText"/>
            </w:pPr>
          </w:p>
          <w:p w14:paraId="319F6DA5" w14:textId="4BEBC69A" w:rsidR="005D07EB" w:rsidRPr="00DE1573" w:rsidRDefault="005D07EB">
            <w:pPr>
              <w:pStyle w:val="BlockText"/>
            </w:pPr>
            <w:r w:rsidRPr="00DE1573">
              <w:rPr>
                <w:b/>
                <w:i/>
              </w:rPr>
              <w:lastRenderedPageBreak/>
              <w:t>Reference</w:t>
            </w:r>
            <w:r w:rsidRPr="00DE1573">
              <w:t>:  For</w:t>
            </w:r>
            <w:r w:rsidR="00EF39DC" w:rsidRPr="00DE1573">
              <w:t xml:space="preserve"> more</w:t>
            </w:r>
            <w:r w:rsidRPr="00DE1573">
              <w:t xml:space="preserve"> information on the diseases for which </w:t>
            </w:r>
            <w:r w:rsidR="001B5628" w:rsidRPr="00DE1573">
              <w:t>SC</w:t>
            </w:r>
            <w:r w:rsidRPr="00DE1573">
              <w:t xml:space="preserve"> may be established on a presumptive basis and the service requirements that must be met, see </w:t>
            </w:r>
            <w:hyperlink r:id="rId24" w:history="1">
              <w:r w:rsidR="00C87AE0" w:rsidRPr="00DE1573">
                <w:rPr>
                  <w:rStyle w:val="Hyperlink"/>
                </w:rPr>
                <w:t>38 CFR</w:t>
              </w:r>
              <w:r w:rsidRPr="00DE1573">
                <w:rPr>
                  <w:rStyle w:val="Hyperlink"/>
                </w:rPr>
                <w:t xml:space="preserve"> 3.307</w:t>
              </w:r>
            </w:hyperlink>
            <w:r w:rsidRPr="00DE1573">
              <w:t>.</w:t>
            </w:r>
          </w:p>
        </w:tc>
      </w:tr>
    </w:tbl>
    <w:p w14:paraId="319F6DA7" w14:textId="20A87D8C" w:rsidR="00706538" w:rsidRPr="00DE1573" w:rsidRDefault="00706538">
      <w:pPr>
        <w:pStyle w:val="BlockLine"/>
      </w:pPr>
    </w:p>
    <w:p w14:paraId="351FD12D" w14:textId="316C6B1F" w:rsidR="005D07EB" w:rsidRPr="00DE1573" w:rsidRDefault="00706538" w:rsidP="00706538">
      <w:pPr>
        <w:rPr>
          <w:szCs w:val="20"/>
        </w:rPr>
      </w:pPr>
      <w:r w:rsidRPr="00DE1573">
        <w:br w:type="page"/>
      </w:r>
    </w:p>
    <w:p w14:paraId="319F6E9A" w14:textId="0E549D04" w:rsidR="005D07EB" w:rsidRPr="00DE1573" w:rsidRDefault="00327641" w:rsidP="004538E9">
      <w:pPr>
        <w:rPr>
          <w:rFonts w:ascii="Arial" w:hAnsi="Arial" w:cs="Arial"/>
          <w:b/>
          <w:sz w:val="32"/>
          <w:szCs w:val="32"/>
        </w:rPr>
      </w:pPr>
      <w:r w:rsidRPr="00DE1573">
        <w:rPr>
          <w:rFonts w:ascii="Arial" w:hAnsi="Arial" w:cs="Arial"/>
          <w:b/>
          <w:sz w:val="32"/>
          <w:szCs w:val="32"/>
        </w:rPr>
        <w:lastRenderedPageBreak/>
        <w:t>3</w:t>
      </w:r>
      <w:r w:rsidR="003753E5" w:rsidRPr="00DE1573">
        <w:rPr>
          <w:rFonts w:ascii="Arial" w:hAnsi="Arial" w:cs="Arial"/>
          <w:b/>
          <w:sz w:val="32"/>
          <w:szCs w:val="32"/>
        </w:rPr>
        <w:t xml:space="preserve">.  </w:t>
      </w:r>
      <w:r w:rsidR="005D07EB" w:rsidRPr="00DE1573">
        <w:rPr>
          <w:rFonts w:ascii="Arial" w:hAnsi="Arial" w:cs="Arial"/>
          <w:b/>
          <w:sz w:val="32"/>
          <w:szCs w:val="32"/>
        </w:rPr>
        <w:t>Developing Claims for SC for Asbestos-Related Diseases</w:t>
      </w:r>
    </w:p>
    <w:p w14:paraId="319F6E9B" w14:textId="5F185EC5"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A2" w14:textId="77777777">
        <w:trPr>
          <w:cantSplit/>
        </w:trPr>
        <w:tc>
          <w:tcPr>
            <w:tcW w:w="1728" w:type="dxa"/>
          </w:tcPr>
          <w:p w14:paraId="319F6E9C" w14:textId="77777777" w:rsidR="005D07EB" w:rsidRPr="00DE1573" w:rsidRDefault="005D07EB">
            <w:pPr>
              <w:pStyle w:val="Heading5"/>
            </w:pPr>
            <w:r w:rsidRPr="00DE1573">
              <w:t>Introduction</w:t>
            </w:r>
          </w:p>
        </w:tc>
        <w:tc>
          <w:tcPr>
            <w:tcW w:w="7740" w:type="dxa"/>
          </w:tcPr>
          <w:p w14:paraId="319F6E9D" w14:textId="44F88DDF" w:rsidR="005D07EB" w:rsidRPr="00DE1573" w:rsidRDefault="005D07EB">
            <w:pPr>
              <w:pStyle w:val="BlockText"/>
            </w:pPr>
            <w:r w:rsidRPr="00DE1573">
              <w:t xml:space="preserve">This topic contains information on developing claims for </w:t>
            </w:r>
            <w:r w:rsidR="009D2FD4" w:rsidRPr="00DE1573">
              <w:t>SC</w:t>
            </w:r>
            <w:r w:rsidRPr="00DE1573">
              <w:t xml:space="preserve"> for asbestos-related diseases, including </w:t>
            </w:r>
          </w:p>
          <w:p w14:paraId="319F6E9E" w14:textId="77777777" w:rsidR="005D07EB" w:rsidRPr="00DE1573" w:rsidRDefault="005D07EB">
            <w:pPr>
              <w:pStyle w:val="BlockText"/>
            </w:pPr>
          </w:p>
          <w:p w14:paraId="5D4EDE3F" w14:textId="614E285A" w:rsidR="0075507A" w:rsidRPr="00DE1573" w:rsidRDefault="00000859" w:rsidP="0061795F">
            <w:pPr>
              <w:pStyle w:val="ListParagraph"/>
              <w:numPr>
                <w:ilvl w:val="0"/>
                <w:numId w:val="20"/>
              </w:numPr>
              <w:ind w:left="158" w:hanging="187"/>
            </w:pPr>
            <w:r w:rsidRPr="00DE1573">
              <w:t xml:space="preserve">entitlement to SC for conditions based on </w:t>
            </w:r>
            <w:r w:rsidR="0075507A" w:rsidRPr="00DE1573">
              <w:t>exposure to asbestos</w:t>
            </w:r>
          </w:p>
          <w:p w14:paraId="40B622D0" w14:textId="5979BB23" w:rsidR="00406A53" w:rsidRPr="00DE1573" w:rsidRDefault="000A4F87">
            <w:pPr>
              <w:pStyle w:val="BulletText1"/>
            </w:pPr>
            <w:r w:rsidRPr="00DE1573">
              <w:t>development</w:t>
            </w:r>
            <w:r w:rsidR="005D07EB" w:rsidRPr="00DE1573">
              <w:t xml:space="preserve"> action to take when no disability</w:t>
            </w:r>
            <w:r w:rsidR="0075507A" w:rsidRPr="00DE1573">
              <w:t xml:space="preserve"> related to asbestos exposure</w:t>
            </w:r>
            <w:r w:rsidR="005D07EB" w:rsidRPr="00DE1573">
              <w:t xml:space="preserve"> is claimed</w:t>
            </w:r>
          </w:p>
          <w:p w14:paraId="1C5EE4CF" w14:textId="1B5166C0" w:rsidR="00EC6216" w:rsidRPr="00DE1573" w:rsidRDefault="00406A53">
            <w:pPr>
              <w:pStyle w:val="BulletText1"/>
            </w:pPr>
            <w:r w:rsidRPr="00DE1573">
              <w:t>use of Militar</w:t>
            </w:r>
            <w:r w:rsidR="00F76F1B" w:rsidRPr="00DE1573">
              <w:t xml:space="preserve">y Occupational Specialty (MOS) </w:t>
            </w:r>
            <w:r w:rsidRPr="00DE1573">
              <w:t>to determine probability of in-service asbestos exposure</w:t>
            </w:r>
          </w:p>
          <w:p w14:paraId="69439D1E" w14:textId="77777777" w:rsidR="002D60C8" w:rsidRPr="00DE1573" w:rsidRDefault="00EC6216" w:rsidP="00B4527B">
            <w:pPr>
              <w:pStyle w:val="BulletText1"/>
            </w:pPr>
            <w:r w:rsidRPr="00DE1573">
              <w:t>developing for evidence of in-service asbestos exposure</w:t>
            </w:r>
            <w:r w:rsidR="005B1F84" w:rsidRPr="00DE1573">
              <w:t xml:space="preserve"> in substantially complete claims</w:t>
            </w:r>
          </w:p>
          <w:p w14:paraId="080AEDD7" w14:textId="36153188" w:rsidR="0084174F" w:rsidRPr="00DE1573" w:rsidRDefault="002D60C8" w:rsidP="00B4527B">
            <w:pPr>
              <w:pStyle w:val="BulletText1"/>
            </w:pPr>
            <w:r w:rsidRPr="00DE1573">
              <w:t>consideration of all evidence in the claims folder in</w:t>
            </w:r>
            <w:r w:rsidR="009B1B96" w:rsidRPr="00DE1573">
              <w:t xml:space="preserve"> determining </w:t>
            </w:r>
            <w:r w:rsidRPr="00DE1573">
              <w:t>in-service asbestos exposure</w:t>
            </w:r>
            <w:r w:rsidR="0084174F" w:rsidRPr="00DE1573">
              <w:t>, and</w:t>
            </w:r>
          </w:p>
          <w:p w14:paraId="319F6EA1" w14:textId="39A3B0AA" w:rsidR="005D07EB" w:rsidRPr="00DE1573" w:rsidRDefault="004538E9" w:rsidP="00B4527B">
            <w:pPr>
              <w:pStyle w:val="BulletText1"/>
            </w:pPr>
            <w:proofErr w:type="gramStart"/>
            <w:r w:rsidRPr="00DE1573">
              <w:t>requesting</w:t>
            </w:r>
            <w:proofErr w:type="gramEnd"/>
            <w:r w:rsidRPr="00DE1573">
              <w:t xml:space="preserve"> an examination and opinion for claims based on asbestos exposure.</w:t>
            </w:r>
          </w:p>
        </w:tc>
      </w:tr>
    </w:tbl>
    <w:p w14:paraId="319F6EA3" w14:textId="26530C60"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A6" w14:textId="77777777">
        <w:trPr>
          <w:cantSplit/>
        </w:trPr>
        <w:tc>
          <w:tcPr>
            <w:tcW w:w="1728" w:type="dxa"/>
          </w:tcPr>
          <w:p w14:paraId="319F6EA4" w14:textId="77777777" w:rsidR="005D07EB" w:rsidRPr="00DE1573" w:rsidRDefault="005D07EB">
            <w:pPr>
              <w:pStyle w:val="Heading5"/>
            </w:pPr>
            <w:r w:rsidRPr="00DE1573">
              <w:t>Change Date</w:t>
            </w:r>
          </w:p>
        </w:tc>
        <w:tc>
          <w:tcPr>
            <w:tcW w:w="7740" w:type="dxa"/>
          </w:tcPr>
          <w:p w14:paraId="319F6EA5" w14:textId="2FF101C5" w:rsidR="005D07EB" w:rsidRPr="00DE1573" w:rsidRDefault="00F35F0E">
            <w:pPr>
              <w:pStyle w:val="BlockText"/>
            </w:pPr>
            <w:r w:rsidRPr="00DE1573">
              <w:t>August 7</w:t>
            </w:r>
            <w:r w:rsidR="00321A50" w:rsidRPr="00DE1573">
              <w:t>, 2015</w:t>
            </w:r>
          </w:p>
        </w:tc>
      </w:tr>
    </w:tbl>
    <w:p w14:paraId="5FD96E6D" w14:textId="77777777" w:rsidR="004C6CE8" w:rsidRPr="00DE1573" w:rsidRDefault="004C6CE8" w:rsidP="004C6CE8">
      <w:pPr>
        <w:tabs>
          <w:tab w:val="left" w:pos="9360"/>
        </w:tabs>
        <w:ind w:left="1714"/>
      </w:pPr>
      <w:r w:rsidRPr="00DE1573">
        <w:rPr>
          <w:u w:val="single"/>
        </w:rPr>
        <w:tab/>
      </w:r>
    </w:p>
    <w:p w14:paraId="2B2D565B" w14:textId="309CC24D" w:rsidR="0075507A" w:rsidRPr="00DE1573" w:rsidRDefault="007550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75507A" w:rsidRPr="00DE1573" w14:paraId="7D32E313" w14:textId="77777777" w:rsidTr="0075507A">
        <w:tc>
          <w:tcPr>
            <w:tcW w:w="1728" w:type="dxa"/>
            <w:shd w:val="clear" w:color="auto" w:fill="auto"/>
          </w:tcPr>
          <w:p w14:paraId="0A80F729" w14:textId="3BB5A762" w:rsidR="0075507A" w:rsidRPr="00DE1573" w:rsidRDefault="0075507A" w:rsidP="0075507A">
            <w:pPr>
              <w:rPr>
                <w:b/>
                <w:sz w:val="22"/>
              </w:rPr>
            </w:pPr>
            <w:r w:rsidRPr="00DE1573">
              <w:rPr>
                <w:b/>
                <w:sz w:val="22"/>
              </w:rPr>
              <w:t xml:space="preserve">a.  </w:t>
            </w:r>
            <w:r w:rsidR="00000859" w:rsidRPr="00DE1573">
              <w:rPr>
                <w:b/>
                <w:sz w:val="22"/>
              </w:rPr>
              <w:t xml:space="preserve">Entitlement to SC for Conditions Based on </w:t>
            </w:r>
            <w:r w:rsidRPr="00DE1573">
              <w:rPr>
                <w:b/>
                <w:sz w:val="22"/>
              </w:rPr>
              <w:t>Exposure to Asbestos</w:t>
            </w:r>
          </w:p>
        </w:tc>
        <w:tc>
          <w:tcPr>
            <w:tcW w:w="7740" w:type="dxa"/>
            <w:shd w:val="clear" w:color="auto" w:fill="auto"/>
          </w:tcPr>
          <w:p w14:paraId="428F6DA5" w14:textId="32E501E0" w:rsidR="00B85A69" w:rsidRPr="00DE1573" w:rsidRDefault="00B85A69" w:rsidP="0075507A">
            <w:r w:rsidRPr="00DE1573">
              <w:t>Veterans who were exposed to asbestos while in service and developed a disease related to</w:t>
            </w:r>
            <w:r w:rsidR="00D632FA" w:rsidRPr="00DE1573">
              <w:t xml:space="preserve"> that</w:t>
            </w:r>
            <w:r w:rsidRPr="00DE1573">
              <w:t xml:space="preserve"> asbestos exposure may receive compensation benefits.</w:t>
            </w:r>
          </w:p>
          <w:p w14:paraId="136E255E" w14:textId="77777777" w:rsidR="00B85A69" w:rsidRPr="00DE1573" w:rsidRDefault="00B85A69" w:rsidP="0075507A"/>
          <w:p w14:paraId="3945025A" w14:textId="77777777" w:rsidR="0075507A" w:rsidRPr="00DE1573" w:rsidRDefault="0075507A" w:rsidP="0075507A">
            <w:r w:rsidRPr="00DE1573">
              <w:t>Claims based on exposure to asbestos require</w:t>
            </w:r>
          </w:p>
          <w:p w14:paraId="415089C6" w14:textId="77777777" w:rsidR="0075507A" w:rsidRPr="00DE1573" w:rsidRDefault="0075507A" w:rsidP="0075507A"/>
          <w:p w14:paraId="652C8771" w14:textId="4B174EC3" w:rsidR="0075507A" w:rsidRPr="00DE1573" w:rsidRDefault="0075507A" w:rsidP="0061795F">
            <w:pPr>
              <w:pStyle w:val="ListParagraph"/>
              <w:numPr>
                <w:ilvl w:val="0"/>
                <w:numId w:val="21"/>
              </w:numPr>
              <w:ind w:left="158" w:hanging="187"/>
            </w:pPr>
            <w:r w:rsidRPr="00DE1573">
              <w:t>a military occupational skill</w:t>
            </w:r>
            <w:r w:rsidR="006026DC" w:rsidRPr="00DE1573">
              <w:t xml:space="preserve"> with </w:t>
            </w:r>
            <w:r w:rsidR="00D632FA" w:rsidRPr="00DE1573">
              <w:t>exposure to asbestos</w:t>
            </w:r>
            <w:r w:rsidRPr="00DE1573">
              <w:t xml:space="preserve"> or other exposure event associated with service</w:t>
            </w:r>
            <w:r w:rsidR="00865FC1" w:rsidRPr="00DE1573">
              <w:t xml:space="preserve"> </w:t>
            </w:r>
            <w:r w:rsidR="006026DC" w:rsidRPr="00DE1573">
              <w:t>sufficient to request an exa</w:t>
            </w:r>
            <w:r w:rsidR="00865FC1" w:rsidRPr="00DE1573">
              <w:t>mination with medical opinion as described in</w:t>
            </w:r>
            <w:r w:rsidR="006026DC" w:rsidRPr="00DE1573">
              <w:t xml:space="preserve"> M21</w:t>
            </w:r>
            <w:r w:rsidR="009B1B96" w:rsidRPr="00DE1573">
              <w:t>-1, Part IV, Subpart ii, 1.I.3.f</w:t>
            </w:r>
            <w:r w:rsidR="00B85A69" w:rsidRPr="00DE1573">
              <w:t>, and</w:t>
            </w:r>
          </w:p>
          <w:p w14:paraId="4D2CFF9C" w14:textId="12909780" w:rsidR="00BF6452" w:rsidRPr="00DE1573" w:rsidRDefault="0075507A" w:rsidP="0061795F">
            <w:pPr>
              <w:pStyle w:val="ListParagraph"/>
              <w:numPr>
                <w:ilvl w:val="0"/>
                <w:numId w:val="21"/>
              </w:numPr>
              <w:ind w:left="158" w:hanging="187"/>
            </w:pPr>
            <w:proofErr w:type="gramStart"/>
            <w:r w:rsidRPr="00DE1573">
              <w:t>a</w:t>
            </w:r>
            <w:proofErr w:type="gramEnd"/>
            <w:r w:rsidR="00BF6452" w:rsidRPr="00DE1573">
              <w:t xml:space="preserve"> diagnosed</w:t>
            </w:r>
            <w:r w:rsidRPr="00DE1573">
              <w:t xml:space="preserve"> disability that has been associated with</w:t>
            </w:r>
            <w:r w:rsidR="00B85A69" w:rsidRPr="00DE1573">
              <w:t xml:space="preserve"> in-service</w:t>
            </w:r>
            <w:r w:rsidRPr="00DE1573">
              <w:t xml:space="preserve"> </w:t>
            </w:r>
            <w:r w:rsidR="00F76F1B" w:rsidRPr="00DE1573">
              <w:t>asbestos exposure</w:t>
            </w:r>
            <w:r w:rsidR="00B85A69" w:rsidRPr="00DE1573">
              <w:t>.</w:t>
            </w:r>
          </w:p>
          <w:p w14:paraId="4FB477D6" w14:textId="77777777" w:rsidR="00BF6452" w:rsidRPr="00DE1573" w:rsidRDefault="00BF6452" w:rsidP="00BF6452"/>
          <w:p w14:paraId="172438FA" w14:textId="5ADE2174" w:rsidR="00BF6452" w:rsidRPr="00DE1573" w:rsidRDefault="00BF6452" w:rsidP="00BF6452">
            <w:r w:rsidRPr="00DE1573">
              <w:rPr>
                <w:b/>
                <w:i/>
              </w:rPr>
              <w:t>Note</w:t>
            </w:r>
            <w:r w:rsidRPr="00DE1573">
              <w:t>:  Occupational exposure is the most common cause of asbestosis, but the condition also can have other causes.</w:t>
            </w:r>
          </w:p>
          <w:p w14:paraId="4F95D132" w14:textId="77777777" w:rsidR="0075507A" w:rsidRPr="00DE1573" w:rsidRDefault="0075507A" w:rsidP="0075507A"/>
          <w:p w14:paraId="10969DDD" w14:textId="19FF991C" w:rsidR="0075507A" w:rsidRPr="00DE1573" w:rsidRDefault="0075507A" w:rsidP="0075507A">
            <w:r w:rsidRPr="00DE1573">
              <w:rPr>
                <w:b/>
                <w:i/>
              </w:rPr>
              <w:t>Reference</w:t>
            </w:r>
            <w:r w:rsidRPr="00DE1573">
              <w:t>:  For more information on asbestos exposure to include rating guidance, see M21-1, Part IV, Subpart ii, 2.C.2.</w:t>
            </w:r>
          </w:p>
        </w:tc>
      </w:tr>
    </w:tbl>
    <w:p w14:paraId="319F6EB8" w14:textId="31A7C63E"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C8" w14:textId="77777777" w:rsidTr="0086260E">
        <w:tc>
          <w:tcPr>
            <w:tcW w:w="1728" w:type="dxa"/>
          </w:tcPr>
          <w:p w14:paraId="319F6EB9" w14:textId="033A357B" w:rsidR="005D07EB" w:rsidRPr="00DE1573" w:rsidRDefault="0075507A">
            <w:pPr>
              <w:pStyle w:val="Heading5"/>
            </w:pPr>
            <w:proofErr w:type="gramStart"/>
            <w:r w:rsidRPr="00DE1573">
              <w:t>b</w:t>
            </w:r>
            <w:r w:rsidR="005D07EB" w:rsidRPr="00DE1573">
              <w:t xml:space="preserve">.  </w:t>
            </w:r>
            <w:r w:rsidR="000A4F87" w:rsidRPr="00DE1573">
              <w:t>Development</w:t>
            </w:r>
            <w:proofErr w:type="gramEnd"/>
            <w:r w:rsidR="000A4F87" w:rsidRPr="00DE1573">
              <w:t xml:space="preserve"> </w:t>
            </w:r>
            <w:r w:rsidR="005D07EB" w:rsidRPr="00DE1573">
              <w:t>Action to Take When No Disability</w:t>
            </w:r>
            <w:r w:rsidRPr="00DE1573">
              <w:t xml:space="preserve"> Related to Asbestos Exposure</w:t>
            </w:r>
            <w:r w:rsidR="005D07EB" w:rsidRPr="00DE1573">
              <w:t xml:space="preserve"> Is Claimed</w:t>
            </w:r>
          </w:p>
        </w:tc>
        <w:tc>
          <w:tcPr>
            <w:tcW w:w="7740" w:type="dxa"/>
          </w:tcPr>
          <w:p w14:paraId="13857451" w14:textId="5676303F" w:rsidR="000A4F87" w:rsidRPr="00DE1573" w:rsidRDefault="005D07EB">
            <w:pPr>
              <w:pStyle w:val="BlockText"/>
            </w:pPr>
            <w:r w:rsidRPr="00DE1573">
              <w:t xml:space="preserve">A claim is not substantially complete if a </w:t>
            </w:r>
            <w:r w:rsidR="00C87AE0" w:rsidRPr="00DE1573">
              <w:t>Veteran</w:t>
            </w:r>
            <w:r w:rsidRPr="00DE1573">
              <w:t xml:space="preserve"> alleges exposure to asbestos during service, but does not claim </w:t>
            </w:r>
            <w:r w:rsidR="009D2FD4" w:rsidRPr="00DE1573">
              <w:t>SC</w:t>
            </w:r>
            <w:r w:rsidRPr="00DE1573">
              <w:t xml:space="preserve"> for a specific disability.</w:t>
            </w:r>
            <w:r w:rsidR="00712529" w:rsidRPr="00DE1573">
              <w:t xml:space="preserve"> </w:t>
            </w:r>
            <w:r w:rsidR="006A12CC" w:rsidRPr="00DE1573">
              <w:t xml:space="preserve"> </w:t>
            </w:r>
            <w:r w:rsidR="004538E9" w:rsidRPr="00DE1573">
              <w:t>In such cases</w:t>
            </w:r>
            <w:r w:rsidR="00712529" w:rsidRPr="00DE1573">
              <w:t xml:space="preserve">, send a letter to the Veteran to </w:t>
            </w:r>
          </w:p>
          <w:p w14:paraId="07794869" w14:textId="77777777" w:rsidR="00712529" w:rsidRPr="00DE1573" w:rsidRDefault="00712529">
            <w:pPr>
              <w:pStyle w:val="BlockText"/>
            </w:pPr>
          </w:p>
          <w:p w14:paraId="764E352F" w14:textId="77777777" w:rsidR="00712529" w:rsidRPr="00DE1573" w:rsidRDefault="00712529" w:rsidP="00712529">
            <w:pPr>
              <w:pStyle w:val="BulletText1"/>
            </w:pPr>
            <w:r w:rsidRPr="00DE1573">
              <w:t>inform the Veteran that exposure, in and of itself, is not a disability, and</w:t>
            </w:r>
          </w:p>
          <w:p w14:paraId="4D3201FC" w14:textId="320BEFF7" w:rsidR="00712529" w:rsidRPr="00DE1573" w:rsidRDefault="00712529" w:rsidP="00D1322F">
            <w:pPr>
              <w:pStyle w:val="BulletText1"/>
            </w:pPr>
            <w:proofErr w:type="gramStart"/>
            <w:r w:rsidRPr="00DE1573">
              <w:t>ask</w:t>
            </w:r>
            <w:proofErr w:type="gramEnd"/>
            <w:r w:rsidRPr="00DE1573">
              <w:t xml:space="preserve"> the Veteran to identify the disability(</w:t>
            </w:r>
            <w:proofErr w:type="spellStart"/>
            <w:r w:rsidRPr="00DE1573">
              <w:t>ies</w:t>
            </w:r>
            <w:proofErr w:type="spellEnd"/>
            <w:r w:rsidRPr="00DE1573">
              <w:t>) that resulted from exposure to asbestos during service.</w:t>
            </w:r>
          </w:p>
          <w:p w14:paraId="2AF40687" w14:textId="77777777" w:rsidR="000A4F87" w:rsidRPr="00DE1573" w:rsidRDefault="000A4F87">
            <w:pPr>
              <w:pStyle w:val="BlockText"/>
            </w:pPr>
          </w:p>
          <w:p w14:paraId="14F3DCC4" w14:textId="3EE8A03D" w:rsidR="00712529" w:rsidRPr="00DE1573" w:rsidRDefault="00712529" w:rsidP="00EF39DC">
            <w:pPr>
              <w:pStyle w:val="BlockText"/>
            </w:pPr>
            <w:r w:rsidRPr="00DE1573">
              <w:t>Use</w:t>
            </w:r>
            <w:r w:rsidR="00D632FA" w:rsidRPr="00DE1573">
              <w:t xml:space="preserve"> </w:t>
            </w:r>
            <w:r w:rsidR="004732EA" w:rsidRPr="00DE1573">
              <w:t xml:space="preserve">the </w:t>
            </w:r>
            <w:r w:rsidR="00D632FA" w:rsidRPr="00DE1573">
              <w:t>Veterans Benefits Management System</w:t>
            </w:r>
            <w:r w:rsidRPr="00DE1573">
              <w:t xml:space="preserve"> </w:t>
            </w:r>
            <w:r w:rsidR="00D632FA" w:rsidRPr="00DE1573">
              <w:t>(</w:t>
            </w:r>
            <w:r w:rsidRPr="00DE1573">
              <w:t>VBMS</w:t>
            </w:r>
            <w:r w:rsidR="00D632FA" w:rsidRPr="00DE1573">
              <w:t>)</w:t>
            </w:r>
            <w:r w:rsidRPr="00DE1573">
              <w:t xml:space="preserve"> or</w:t>
            </w:r>
            <w:r w:rsidR="00D632FA" w:rsidRPr="00DE1573">
              <w:t xml:space="preserve"> Modern Awards </w:t>
            </w:r>
            <w:r w:rsidR="00D632FA" w:rsidRPr="00DE1573">
              <w:lastRenderedPageBreak/>
              <w:t>Processing - Development</w:t>
            </w:r>
            <w:r w:rsidRPr="00DE1573">
              <w:t xml:space="preserve"> </w:t>
            </w:r>
            <w:r w:rsidR="00D632FA" w:rsidRPr="00DE1573">
              <w:t>(</w:t>
            </w:r>
            <w:r w:rsidRPr="00DE1573">
              <w:t>MAP-D</w:t>
            </w:r>
            <w:r w:rsidR="00D632FA" w:rsidRPr="00DE1573">
              <w:t>)</w:t>
            </w:r>
            <w:r w:rsidRPr="00DE1573">
              <w:t xml:space="preserve"> to generate the applicable paragraphs to send in the development letter to the Veteran by selecting the </w:t>
            </w:r>
            <w:r w:rsidR="0084174F" w:rsidRPr="00DE1573">
              <w:t xml:space="preserve">entry </w:t>
            </w:r>
            <w:r w:rsidRPr="00DE1573">
              <w:t>ASB – TELL US SPECIFIC DISABILITY FM ASBESTOS EXPOSURE.</w:t>
            </w:r>
          </w:p>
          <w:p w14:paraId="319F6EBE" w14:textId="12D71F0D" w:rsidR="005D07EB" w:rsidRPr="00DE1573" w:rsidRDefault="005D07EB">
            <w:pPr>
              <w:pStyle w:val="BlockText"/>
            </w:pPr>
          </w:p>
          <w:p w14:paraId="319F6EBF" w14:textId="77777777" w:rsidR="005D07EB" w:rsidRPr="00DE1573" w:rsidRDefault="005D07EB">
            <w:pPr>
              <w:pStyle w:val="BlockText"/>
            </w:pPr>
            <w:r w:rsidRPr="00DE1573">
              <w:rPr>
                <w:b/>
                <w:bCs/>
                <w:i/>
                <w:iCs/>
              </w:rPr>
              <w:t>Important</w:t>
            </w:r>
            <w:r w:rsidRPr="00DE1573">
              <w:t>:</w:t>
            </w:r>
          </w:p>
          <w:p w14:paraId="319F6EC0" w14:textId="77777777" w:rsidR="005D07EB" w:rsidRPr="00DE1573" w:rsidRDefault="005D07EB">
            <w:pPr>
              <w:pStyle w:val="BulletText1"/>
            </w:pPr>
            <w:r w:rsidRPr="00DE1573">
              <w:t xml:space="preserve">Do not </w:t>
            </w:r>
          </w:p>
          <w:p w14:paraId="319F6EC1" w14:textId="77777777" w:rsidR="005D07EB" w:rsidRPr="00DE1573" w:rsidRDefault="005D07EB">
            <w:pPr>
              <w:pStyle w:val="BulletText2"/>
            </w:pPr>
            <w:r w:rsidRPr="00DE1573">
              <w:t>process the claim as a denial, or</w:t>
            </w:r>
          </w:p>
          <w:p w14:paraId="319F6EC2" w14:textId="42E7C9DC" w:rsidR="005D07EB" w:rsidRPr="00DE1573" w:rsidRDefault="005D07EB">
            <w:pPr>
              <w:pStyle w:val="BulletText2"/>
            </w:pPr>
            <w:proofErr w:type="gramStart"/>
            <w:r w:rsidRPr="00DE1573">
              <w:t>establish</w:t>
            </w:r>
            <w:proofErr w:type="gramEnd"/>
            <w:r w:rsidRPr="00DE1573">
              <w:t xml:space="preserve"> </w:t>
            </w:r>
            <w:r w:rsidR="00D632FA" w:rsidRPr="00DE1573">
              <w:t>end product (</w:t>
            </w:r>
            <w:r w:rsidRPr="00DE1573">
              <w:t>EP</w:t>
            </w:r>
            <w:r w:rsidR="00D632FA" w:rsidRPr="00DE1573">
              <w:t>)</w:t>
            </w:r>
            <w:r w:rsidRPr="00DE1573">
              <w:t xml:space="preserve"> control for the incomplete claim.</w:t>
            </w:r>
          </w:p>
          <w:p w14:paraId="319F6EC3" w14:textId="77777777" w:rsidR="005D07EB" w:rsidRPr="00DE1573" w:rsidRDefault="005D07EB">
            <w:pPr>
              <w:pStyle w:val="BulletText1"/>
            </w:pPr>
            <w:r w:rsidRPr="00DE1573">
              <w:t xml:space="preserve">Whenever possible, telephone the </w:t>
            </w:r>
            <w:r w:rsidR="00C87AE0" w:rsidRPr="00DE1573">
              <w:t>Veteran</w:t>
            </w:r>
            <w:r w:rsidRPr="00DE1573">
              <w:t xml:space="preserve"> to obtain the information needed to substantiate the claim.</w:t>
            </w:r>
          </w:p>
          <w:p w14:paraId="319F6EC4" w14:textId="77777777" w:rsidR="005D07EB" w:rsidRPr="00DE1573" w:rsidRDefault="005D07EB">
            <w:pPr>
              <w:pStyle w:val="BlockText"/>
            </w:pPr>
          </w:p>
          <w:p w14:paraId="319F6EC5" w14:textId="104D9FC8" w:rsidR="005D07EB" w:rsidRPr="00DE1573" w:rsidRDefault="005D07EB" w:rsidP="00DF50B4">
            <w:pPr>
              <w:pStyle w:val="BlockText"/>
            </w:pPr>
            <w:r w:rsidRPr="00DE1573">
              <w:rPr>
                <w:b/>
                <w:bCs/>
                <w:i/>
                <w:iCs/>
              </w:rPr>
              <w:t>Reference</w:t>
            </w:r>
            <w:r w:rsidRPr="00DE1573">
              <w:t>:  For more information on what constitutes a substantially complete application, see</w:t>
            </w:r>
          </w:p>
          <w:p w14:paraId="319F6EC6" w14:textId="3728435C" w:rsidR="005D07EB" w:rsidRPr="00DE1573" w:rsidRDefault="00D872BE" w:rsidP="0061795F">
            <w:pPr>
              <w:pStyle w:val="ListParagraph"/>
              <w:numPr>
                <w:ilvl w:val="0"/>
                <w:numId w:val="39"/>
              </w:numPr>
              <w:ind w:left="158" w:hanging="187"/>
            </w:pPr>
            <w:hyperlink r:id="rId25" w:history="1">
              <w:r w:rsidR="00C87AE0" w:rsidRPr="00DE1573">
                <w:rPr>
                  <w:rStyle w:val="Hyperlink"/>
                </w:rPr>
                <w:t>38 CFR</w:t>
              </w:r>
              <w:r w:rsidR="005D07EB" w:rsidRPr="00DE1573">
                <w:rPr>
                  <w:rStyle w:val="Hyperlink"/>
                </w:rPr>
                <w:t xml:space="preserve"> 3.159(a)(3)</w:t>
              </w:r>
            </w:hyperlink>
            <w:r w:rsidR="005D07EB" w:rsidRPr="00DE1573">
              <w:t>, and</w:t>
            </w:r>
          </w:p>
          <w:p w14:paraId="319F6EC7" w14:textId="787BD250" w:rsidR="005D07EB" w:rsidRPr="00DE1573" w:rsidRDefault="005D07EB" w:rsidP="0061795F">
            <w:pPr>
              <w:pStyle w:val="ListParagraph"/>
              <w:numPr>
                <w:ilvl w:val="0"/>
                <w:numId w:val="39"/>
              </w:numPr>
              <w:ind w:left="158" w:hanging="187"/>
            </w:pPr>
            <w:r w:rsidRPr="00DE1573">
              <w:t>M21-1, Part I, 1.B.</w:t>
            </w:r>
            <w:r w:rsidR="00F76F1B" w:rsidRPr="00DE1573">
              <w:rPr>
                <w:rStyle w:val="Hyperlink"/>
                <w:color w:val="auto"/>
                <w:u w:val="none"/>
              </w:rPr>
              <w:t>1.b</w:t>
            </w:r>
            <w:r w:rsidR="0075507A" w:rsidRPr="00DE1573">
              <w:rPr>
                <w:rStyle w:val="Hyperlink"/>
                <w:color w:val="auto"/>
                <w:u w:val="none"/>
              </w:rPr>
              <w:t>.</w:t>
            </w:r>
          </w:p>
        </w:tc>
      </w:tr>
    </w:tbl>
    <w:p w14:paraId="3679C6C0" w14:textId="07BCDE95" w:rsidR="00406A53" w:rsidRPr="00DE1573" w:rsidRDefault="005D07EB" w:rsidP="00406A53">
      <w:pPr>
        <w:pStyle w:val="BlockLine"/>
      </w:pPr>
      <w:r w:rsidRPr="00DE1573">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406A53" w:rsidRPr="00DE1573" w14:paraId="3BB5EDF8" w14:textId="77777777" w:rsidTr="00406A53">
        <w:tc>
          <w:tcPr>
            <w:tcW w:w="1728" w:type="dxa"/>
            <w:shd w:val="clear" w:color="auto" w:fill="auto"/>
          </w:tcPr>
          <w:p w14:paraId="33EB053E" w14:textId="471FA48F" w:rsidR="00406A53" w:rsidRPr="00DE1573" w:rsidRDefault="0075507A" w:rsidP="002630DD">
            <w:pPr>
              <w:rPr>
                <w:b/>
                <w:sz w:val="22"/>
              </w:rPr>
            </w:pPr>
            <w:r w:rsidRPr="00DE1573">
              <w:rPr>
                <w:b/>
                <w:sz w:val="22"/>
              </w:rPr>
              <w:t>c</w:t>
            </w:r>
            <w:r w:rsidR="00406A53" w:rsidRPr="00DE1573">
              <w:rPr>
                <w:b/>
                <w:sz w:val="22"/>
              </w:rPr>
              <w:t>.  Use of MOS to Determine Probability of In-Service Asbestos Exposure</w:t>
            </w:r>
          </w:p>
        </w:tc>
        <w:tc>
          <w:tcPr>
            <w:tcW w:w="7740" w:type="dxa"/>
            <w:shd w:val="clear" w:color="auto" w:fill="auto"/>
          </w:tcPr>
          <w:p w14:paraId="5A34EEB1" w14:textId="080F5C41" w:rsidR="00406A53" w:rsidRPr="00DE1573" w:rsidRDefault="00406A53" w:rsidP="00406A53">
            <w:r w:rsidRPr="00DE1573">
              <w:t>The table below describes</w:t>
            </w:r>
            <w:r w:rsidR="00712529" w:rsidRPr="00DE1573">
              <w:t xml:space="preserve"> </w:t>
            </w:r>
            <w:r w:rsidR="00EC6216" w:rsidRPr="00DE1573">
              <w:t>probability of asbestos exposure</w:t>
            </w:r>
            <w:r w:rsidR="00712529" w:rsidRPr="00DE1573">
              <w:t xml:space="preserve"> by</w:t>
            </w:r>
            <w:r w:rsidR="00D632FA" w:rsidRPr="00DE1573">
              <w:t xml:space="preserve"> military occupational specialty</w:t>
            </w:r>
            <w:r w:rsidR="00712529" w:rsidRPr="00DE1573">
              <w:t xml:space="preserve"> </w:t>
            </w:r>
            <w:r w:rsidR="00D632FA" w:rsidRPr="00DE1573">
              <w:t>(</w:t>
            </w:r>
            <w:r w:rsidR="00712529" w:rsidRPr="00DE1573">
              <w:t>MOS</w:t>
            </w:r>
            <w:r w:rsidR="00D632FA" w:rsidRPr="00DE1573">
              <w:t>)</w:t>
            </w:r>
            <w:r w:rsidR="00EC6216" w:rsidRPr="00DE1573">
              <w:t>.</w:t>
            </w:r>
            <w:r w:rsidRPr="00DE1573">
              <w:t xml:space="preserve"> </w:t>
            </w:r>
          </w:p>
        </w:tc>
      </w:tr>
    </w:tbl>
    <w:p w14:paraId="0BA493BE" w14:textId="77777777" w:rsidR="00EC6216" w:rsidRPr="00DE1573" w:rsidRDefault="00EC6216" w:rsidP="00EC6216">
      <w:pPr>
        <w:pStyle w:val="VSRHandoutHeading"/>
        <w:outlineLvl w:val="0"/>
        <w:rPr>
          <w:sz w:val="24"/>
          <w:szCs w:val="24"/>
        </w:rPr>
      </w:pPr>
      <w:bookmarkStart w:id="1" w:name="_Toc220462791"/>
      <w:r w:rsidRPr="00DE1573">
        <w:rPr>
          <w:sz w:val="24"/>
          <w:szCs w:val="24"/>
        </w:rPr>
        <w:t>Asbestos MOS Handout</w:t>
      </w:r>
      <w:bookmarkEnd w:id="1"/>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670"/>
        <w:gridCol w:w="2520"/>
      </w:tblGrid>
      <w:tr w:rsidR="00EC6216" w:rsidRPr="00DE1573" w14:paraId="1E12DAA2" w14:textId="77777777" w:rsidTr="00F8372E">
        <w:tc>
          <w:tcPr>
            <w:tcW w:w="1368" w:type="dxa"/>
            <w:vAlign w:val="center"/>
          </w:tcPr>
          <w:p w14:paraId="43C486C3" w14:textId="77777777" w:rsidR="00EC6216" w:rsidRPr="00DE1573" w:rsidRDefault="00EC6216" w:rsidP="00F8372E">
            <w:pPr>
              <w:pStyle w:val="Heading1"/>
              <w:rPr>
                <w:rFonts w:ascii="Times New Roman" w:hAnsi="Times New Roman" w:cs="Times New Roman"/>
                <w:sz w:val="24"/>
                <w:szCs w:val="24"/>
              </w:rPr>
            </w:pPr>
            <w:r w:rsidRPr="00DE1573">
              <w:rPr>
                <w:rFonts w:ascii="Times New Roman" w:hAnsi="Times New Roman" w:cs="Times New Roman"/>
                <w:sz w:val="24"/>
                <w:szCs w:val="24"/>
              </w:rPr>
              <w:t>MOS Code</w:t>
            </w:r>
          </w:p>
        </w:tc>
        <w:tc>
          <w:tcPr>
            <w:tcW w:w="5670" w:type="dxa"/>
            <w:vAlign w:val="center"/>
          </w:tcPr>
          <w:p w14:paraId="6572BD28" w14:textId="77777777" w:rsidR="00EC6216" w:rsidRPr="00DE1573" w:rsidRDefault="00EC6216" w:rsidP="00F8372E">
            <w:pPr>
              <w:pStyle w:val="Heading1"/>
              <w:rPr>
                <w:rFonts w:ascii="Times New Roman" w:hAnsi="Times New Roman" w:cs="Times New Roman"/>
                <w:sz w:val="24"/>
                <w:szCs w:val="24"/>
              </w:rPr>
            </w:pPr>
            <w:r w:rsidRPr="00DE1573">
              <w:rPr>
                <w:rFonts w:ascii="Times New Roman" w:hAnsi="Times New Roman" w:cs="Times New Roman"/>
                <w:sz w:val="24"/>
                <w:szCs w:val="24"/>
              </w:rPr>
              <w:t>Job Title</w:t>
            </w:r>
          </w:p>
        </w:tc>
        <w:tc>
          <w:tcPr>
            <w:tcW w:w="2520" w:type="dxa"/>
            <w:vAlign w:val="center"/>
          </w:tcPr>
          <w:p w14:paraId="7DCF8AF5" w14:textId="77777777" w:rsidR="00EC6216" w:rsidRPr="00DE1573" w:rsidRDefault="00EC6216" w:rsidP="00F8372E">
            <w:pPr>
              <w:pStyle w:val="Heading1"/>
              <w:rPr>
                <w:rFonts w:ascii="Times New Roman" w:hAnsi="Times New Roman" w:cs="Times New Roman"/>
                <w:sz w:val="24"/>
                <w:szCs w:val="24"/>
              </w:rPr>
            </w:pPr>
            <w:r w:rsidRPr="00DE1573">
              <w:rPr>
                <w:rFonts w:ascii="Times New Roman" w:hAnsi="Times New Roman" w:cs="Times New Roman"/>
                <w:sz w:val="24"/>
                <w:szCs w:val="24"/>
              </w:rPr>
              <w:t>Probability of Exposure</w:t>
            </w:r>
          </w:p>
        </w:tc>
      </w:tr>
      <w:tr w:rsidR="00EC6216" w:rsidRPr="00DE1573" w14:paraId="7A2BF1FA" w14:textId="77777777" w:rsidTr="00F8372E">
        <w:tc>
          <w:tcPr>
            <w:tcW w:w="1368" w:type="dxa"/>
          </w:tcPr>
          <w:p w14:paraId="545A3578" w14:textId="77777777" w:rsidR="00EC6216" w:rsidRPr="00DE1573" w:rsidRDefault="00EC6216" w:rsidP="00F8372E">
            <w:r w:rsidRPr="00DE1573">
              <w:t>AA</w:t>
            </w:r>
          </w:p>
        </w:tc>
        <w:tc>
          <w:tcPr>
            <w:tcW w:w="5670" w:type="dxa"/>
          </w:tcPr>
          <w:p w14:paraId="23C21469" w14:textId="77777777" w:rsidR="00EC6216" w:rsidRPr="00DE1573" w:rsidRDefault="00EC6216" w:rsidP="00F8372E">
            <w:r w:rsidRPr="00DE1573">
              <w:t>Airman Apprentice</w:t>
            </w:r>
          </w:p>
        </w:tc>
        <w:tc>
          <w:tcPr>
            <w:tcW w:w="2520" w:type="dxa"/>
          </w:tcPr>
          <w:p w14:paraId="6795D57C" w14:textId="77777777" w:rsidR="00EC6216" w:rsidRPr="00DE1573" w:rsidRDefault="00EC6216" w:rsidP="00F8372E">
            <w:r w:rsidRPr="00DE1573">
              <w:t>Minimal</w:t>
            </w:r>
          </w:p>
        </w:tc>
      </w:tr>
      <w:tr w:rsidR="00EC6216" w:rsidRPr="00DE1573" w14:paraId="6AC2A5CE" w14:textId="77777777" w:rsidTr="00F8372E">
        <w:tc>
          <w:tcPr>
            <w:tcW w:w="1368" w:type="dxa"/>
          </w:tcPr>
          <w:p w14:paraId="02EEEE4C" w14:textId="77777777" w:rsidR="00EC6216" w:rsidRPr="00DE1573" w:rsidRDefault="00EC6216" w:rsidP="00F8372E">
            <w:r w:rsidRPr="00DE1573">
              <w:t>ABE</w:t>
            </w:r>
          </w:p>
        </w:tc>
        <w:tc>
          <w:tcPr>
            <w:tcW w:w="5670" w:type="dxa"/>
          </w:tcPr>
          <w:p w14:paraId="2338916F" w14:textId="77777777" w:rsidR="00EC6216" w:rsidRPr="00DE1573" w:rsidRDefault="00EC6216" w:rsidP="00F8372E">
            <w:r w:rsidRPr="00DE1573">
              <w:t>Aviation Boatswain’s Mate (Launch &amp; Rec Equip)</w:t>
            </w:r>
          </w:p>
        </w:tc>
        <w:tc>
          <w:tcPr>
            <w:tcW w:w="2520" w:type="dxa"/>
          </w:tcPr>
          <w:p w14:paraId="4C300F2A" w14:textId="77777777" w:rsidR="00EC6216" w:rsidRPr="00DE1573" w:rsidRDefault="00EC6216" w:rsidP="00F8372E">
            <w:r w:rsidRPr="00DE1573">
              <w:t>Probable</w:t>
            </w:r>
          </w:p>
        </w:tc>
      </w:tr>
      <w:tr w:rsidR="00EC6216" w:rsidRPr="00DE1573" w14:paraId="38FE7EA3" w14:textId="77777777" w:rsidTr="00F8372E">
        <w:tc>
          <w:tcPr>
            <w:tcW w:w="1368" w:type="dxa"/>
          </w:tcPr>
          <w:p w14:paraId="485FD116" w14:textId="77777777" w:rsidR="00EC6216" w:rsidRPr="00DE1573" w:rsidRDefault="00EC6216" w:rsidP="00F8372E">
            <w:r w:rsidRPr="00DE1573">
              <w:t>ABF</w:t>
            </w:r>
          </w:p>
        </w:tc>
        <w:tc>
          <w:tcPr>
            <w:tcW w:w="5670" w:type="dxa"/>
          </w:tcPr>
          <w:p w14:paraId="1EE51F7F" w14:textId="77777777" w:rsidR="00EC6216" w:rsidRPr="00DE1573" w:rsidRDefault="00EC6216" w:rsidP="00F8372E">
            <w:r w:rsidRPr="00DE1573">
              <w:t>Aviation Boatswain’s Mate</w:t>
            </w:r>
          </w:p>
        </w:tc>
        <w:tc>
          <w:tcPr>
            <w:tcW w:w="2520" w:type="dxa"/>
          </w:tcPr>
          <w:p w14:paraId="56F61132" w14:textId="77777777" w:rsidR="00EC6216" w:rsidRPr="00DE1573" w:rsidRDefault="00EC6216" w:rsidP="00F8372E">
            <w:r w:rsidRPr="00DE1573">
              <w:t>Probable</w:t>
            </w:r>
          </w:p>
        </w:tc>
      </w:tr>
      <w:tr w:rsidR="00EC6216" w:rsidRPr="00DE1573" w14:paraId="14DAC927" w14:textId="77777777" w:rsidTr="00F8372E">
        <w:tc>
          <w:tcPr>
            <w:tcW w:w="1368" w:type="dxa"/>
          </w:tcPr>
          <w:p w14:paraId="164CF408" w14:textId="77777777" w:rsidR="00EC6216" w:rsidRPr="00DE1573" w:rsidRDefault="00EC6216" w:rsidP="00F8372E">
            <w:r w:rsidRPr="00DE1573">
              <w:t>ABH</w:t>
            </w:r>
          </w:p>
        </w:tc>
        <w:tc>
          <w:tcPr>
            <w:tcW w:w="5670" w:type="dxa"/>
          </w:tcPr>
          <w:p w14:paraId="213A8EF4" w14:textId="77777777" w:rsidR="00EC6216" w:rsidRPr="00DE1573" w:rsidRDefault="00EC6216" w:rsidP="00F8372E">
            <w:r w:rsidRPr="00DE1573">
              <w:t>Aviation Boatswain’s Mate (Aircraft Handler</w:t>
            </w:r>
          </w:p>
        </w:tc>
        <w:tc>
          <w:tcPr>
            <w:tcW w:w="2520" w:type="dxa"/>
          </w:tcPr>
          <w:p w14:paraId="5E8AFB62" w14:textId="77777777" w:rsidR="00EC6216" w:rsidRPr="00DE1573" w:rsidRDefault="00EC6216" w:rsidP="00F8372E">
            <w:r w:rsidRPr="00DE1573">
              <w:t>Probable</w:t>
            </w:r>
          </w:p>
        </w:tc>
      </w:tr>
      <w:tr w:rsidR="00EC6216" w:rsidRPr="00DE1573" w14:paraId="4BD5F53D" w14:textId="77777777" w:rsidTr="00F8372E">
        <w:tc>
          <w:tcPr>
            <w:tcW w:w="1368" w:type="dxa"/>
          </w:tcPr>
          <w:p w14:paraId="28639BE2" w14:textId="77777777" w:rsidR="00EC6216" w:rsidRPr="00DE1573" w:rsidRDefault="00EC6216" w:rsidP="00F8372E">
            <w:r w:rsidRPr="00DE1573">
              <w:t>AC</w:t>
            </w:r>
          </w:p>
        </w:tc>
        <w:tc>
          <w:tcPr>
            <w:tcW w:w="5670" w:type="dxa"/>
          </w:tcPr>
          <w:p w14:paraId="10600838" w14:textId="77777777" w:rsidR="00EC6216" w:rsidRPr="00DE1573" w:rsidRDefault="00EC6216" w:rsidP="00F8372E">
            <w:pPr>
              <w:pStyle w:val="ContinuedTableLabe"/>
              <w:overflowPunct w:val="0"/>
              <w:autoSpaceDE w:val="0"/>
              <w:autoSpaceDN w:val="0"/>
              <w:adjustRightInd w:val="0"/>
              <w:rPr>
                <w:b w:val="0"/>
                <w:sz w:val="24"/>
                <w:szCs w:val="24"/>
              </w:rPr>
            </w:pPr>
            <w:r w:rsidRPr="00DE1573">
              <w:rPr>
                <w:b w:val="0"/>
                <w:sz w:val="24"/>
                <w:szCs w:val="24"/>
              </w:rPr>
              <w:t>Air Traffic Controller</w:t>
            </w:r>
          </w:p>
        </w:tc>
        <w:tc>
          <w:tcPr>
            <w:tcW w:w="2520" w:type="dxa"/>
          </w:tcPr>
          <w:p w14:paraId="4F27FB06" w14:textId="77777777" w:rsidR="00EC6216" w:rsidRPr="00DE1573" w:rsidRDefault="00EC6216" w:rsidP="00F8372E">
            <w:r w:rsidRPr="00DE1573">
              <w:t>Minimal</w:t>
            </w:r>
          </w:p>
        </w:tc>
      </w:tr>
      <w:tr w:rsidR="00EC6216" w:rsidRPr="00DE1573" w14:paraId="1E6D4869" w14:textId="77777777" w:rsidTr="00F8372E">
        <w:tc>
          <w:tcPr>
            <w:tcW w:w="1368" w:type="dxa"/>
          </w:tcPr>
          <w:p w14:paraId="6A2DF9C0" w14:textId="77777777" w:rsidR="00EC6216" w:rsidRPr="00DE1573" w:rsidRDefault="00EC6216" w:rsidP="00F8372E">
            <w:r w:rsidRPr="00DE1573">
              <w:t>ACM</w:t>
            </w:r>
          </w:p>
        </w:tc>
        <w:tc>
          <w:tcPr>
            <w:tcW w:w="5670" w:type="dxa"/>
          </w:tcPr>
          <w:p w14:paraId="00D33DBB" w14:textId="77777777" w:rsidR="00EC6216" w:rsidRPr="00DE1573" w:rsidRDefault="00EC6216" w:rsidP="00F8372E">
            <w:r w:rsidRPr="00DE1573">
              <w:t>Aviation Chief Metalsmith</w:t>
            </w:r>
          </w:p>
        </w:tc>
        <w:tc>
          <w:tcPr>
            <w:tcW w:w="2520" w:type="dxa"/>
          </w:tcPr>
          <w:p w14:paraId="42F3CF87" w14:textId="77777777" w:rsidR="00EC6216" w:rsidRPr="00DE1573" w:rsidRDefault="00EC6216" w:rsidP="00F8372E">
            <w:r w:rsidRPr="00DE1573">
              <w:t>Probable</w:t>
            </w:r>
          </w:p>
        </w:tc>
      </w:tr>
      <w:tr w:rsidR="00EC6216" w:rsidRPr="00DE1573" w14:paraId="33B9BED0" w14:textId="77777777" w:rsidTr="00F8372E">
        <w:tc>
          <w:tcPr>
            <w:tcW w:w="1368" w:type="dxa"/>
          </w:tcPr>
          <w:p w14:paraId="617FA555" w14:textId="77777777" w:rsidR="00EC6216" w:rsidRPr="00DE1573" w:rsidRDefault="00EC6216" w:rsidP="00F8372E">
            <w:r w:rsidRPr="00DE1573">
              <w:t>ADJ</w:t>
            </w:r>
          </w:p>
        </w:tc>
        <w:tc>
          <w:tcPr>
            <w:tcW w:w="5670" w:type="dxa"/>
          </w:tcPr>
          <w:p w14:paraId="78F688C4" w14:textId="77777777" w:rsidR="00EC6216" w:rsidRPr="00DE1573" w:rsidRDefault="00EC6216" w:rsidP="00F8372E">
            <w:r w:rsidRPr="00DE1573">
              <w:t>Aviation Machinist’s Mate (Jet Engine Mechanic)</w:t>
            </w:r>
          </w:p>
        </w:tc>
        <w:tc>
          <w:tcPr>
            <w:tcW w:w="2520" w:type="dxa"/>
          </w:tcPr>
          <w:p w14:paraId="24E9ADB5" w14:textId="77777777" w:rsidR="00EC6216" w:rsidRPr="00DE1573" w:rsidRDefault="00EC6216" w:rsidP="00F8372E">
            <w:r w:rsidRPr="00DE1573">
              <w:t>Probable</w:t>
            </w:r>
          </w:p>
        </w:tc>
      </w:tr>
      <w:tr w:rsidR="00EC6216" w:rsidRPr="00DE1573" w14:paraId="27E92B40" w14:textId="77777777" w:rsidTr="00F8372E">
        <w:tc>
          <w:tcPr>
            <w:tcW w:w="1368" w:type="dxa"/>
          </w:tcPr>
          <w:p w14:paraId="77DA0508" w14:textId="77777777" w:rsidR="00EC6216" w:rsidRPr="00DE1573" w:rsidRDefault="00EC6216" w:rsidP="00F8372E">
            <w:r w:rsidRPr="00DE1573">
              <w:t>ADR</w:t>
            </w:r>
          </w:p>
        </w:tc>
        <w:tc>
          <w:tcPr>
            <w:tcW w:w="5670" w:type="dxa"/>
          </w:tcPr>
          <w:p w14:paraId="01FFEB16" w14:textId="77777777" w:rsidR="00EC6216" w:rsidRPr="00DE1573" w:rsidRDefault="00EC6216" w:rsidP="00F8372E">
            <w:r w:rsidRPr="00DE1573">
              <w:t>Aviation Machinist’s Mate</w:t>
            </w:r>
          </w:p>
        </w:tc>
        <w:tc>
          <w:tcPr>
            <w:tcW w:w="2520" w:type="dxa"/>
          </w:tcPr>
          <w:p w14:paraId="51EA631D" w14:textId="77777777" w:rsidR="00EC6216" w:rsidRPr="00DE1573" w:rsidRDefault="00EC6216" w:rsidP="00F8372E">
            <w:r w:rsidRPr="00DE1573">
              <w:t>Probable</w:t>
            </w:r>
          </w:p>
        </w:tc>
      </w:tr>
      <w:tr w:rsidR="00EC6216" w:rsidRPr="00DE1573" w14:paraId="7B8DEC8B" w14:textId="77777777" w:rsidTr="00F8372E">
        <w:tc>
          <w:tcPr>
            <w:tcW w:w="1368" w:type="dxa"/>
          </w:tcPr>
          <w:p w14:paraId="372D0D51" w14:textId="77777777" w:rsidR="00EC6216" w:rsidRPr="00DE1573" w:rsidRDefault="00EC6216" w:rsidP="00F8372E">
            <w:r w:rsidRPr="00DE1573">
              <w:t>AE</w:t>
            </w:r>
          </w:p>
        </w:tc>
        <w:tc>
          <w:tcPr>
            <w:tcW w:w="5670" w:type="dxa"/>
          </w:tcPr>
          <w:p w14:paraId="5664B8D0" w14:textId="77777777" w:rsidR="00EC6216" w:rsidRPr="00DE1573" w:rsidRDefault="00EC6216" w:rsidP="00F8372E">
            <w:r w:rsidRPr="00DE1573">
              <w:t>Aviation Electrician’s Mate</w:t>
            </w:r>
          </w:p>
        </w:tc>
        <w:tc>
          <w:tcPr>
            <w:tcW w:w="2520" w:type="dxa"/>
          </w:tcPr>
          <w:p w14:paraId="7112DBFA" w14:textId="77777777" w:rsidR="00EC6216" w:rsidRPr="00DE1573" w:rsidRDefault="00EC6216" w:rsidP="00F8372E">
            <w:r w:rsidRPr="00DE1573">
              <w:t>Probable</w:t>
            </w:r>
          </w:p>
        </w:tc>
      </w:tr>
      <w:tr w:rsidR="00EC6216" w:rsidRPr="00DE1573" w14:paraId="1B68543C" w14:textId="77777777" w:rsidTr="00F8372E">
        <w:tc>
          <w:tcPr>
            <w:tcW w:w="1368" w:type="dxa"/>
          </w:tcPr>
          <w:p w14:paraId="0EB891E7" w14:textId="77777777" w:rsidR="00EC6216" w:rsidRPr="00DE1573" w:rsidRDefault="00EC6216" w:rsidP="00F8372E">
            <w:r w:rsidRPr="00DE1573">
              <w:t>AFCM</w:t>
            </w:r>
          </w:p>
        </w:tc>
        <w:tc>
          <w:tcPr>
            <w:tcW w:w="5670" w:type="dxa"/>
          </w:tcPr>
          <w:p w14:paraId="59C1F2B4" w14:textId="77777777" w:rsidR="00EC6216" w:rsidRPr="00DE1573" w:rsidRDefault="00EC6216" w:rsidP="00F8372E">
            <w:pPr>
              <w:pStyle w:val="ContinuedTableLabe"/>
              <w:overflowPunct w:val="0"/>
              <w:autoSpaceDE w:val="0"/>
              <w:autoSpaceDN w:val="0"/>
              <w:adjustRightInd w:val="0"/>
              <w:rPr>
                <w:b w:val="0"/>
                <w:sz w:val="24"/>
                <w:szCs w:val="24"/>
              </w:rPr>
            </w:pPr>
            <w:r w:rsidRPr="00DE1573">
              <w:rPr>
                <w:b w:val="0"/>
                <w:sz w:val="24"/>
                <w:szCs w:val="24"/>
              </w:rPr>
              <w:t xml:space="preserve">Aircraft </w:t>
            </w:r>
            <w:proofErr w:type="spellStart"/>
            <w:r w:rsidRPr="00DE1573">
              <w:rPr>
                <w:b w:val="0"/>
                <w:sz w:val="24"/>
                <w:szCs w:val="24"/>
              </w:rPr>
              <w:t>Maintenanceman</w:t>
            </w:r>
            <w:proofErr w:type="spellEnd"/>
            <w:r w:rsidRPr="00DE1573">
              <w:rPr>
                <w:b w:val="0"/>
                <w:sz w:val="24"/>
                <w:szCs w:val="24"/>
              </w:rPr>
              <w:t xml:space="preserve"> (Master Chief)</w:t>
            </w:r>
          </w:p>
        </w:tc>
        <w:tc>
          <w:tcPr>
            <w:tcW w:w="2520" w:type="dxa"/>
          </w:tcPr>
          <w:p w14:paraId="0088CE8B" w14:textId="77777777" w:rsidR="00EC6216" w:rsidRPr="00DE1573" w:rsidRDefault="00EC6216" w:rsidP="00F8372E">
            <w:r w:rsidRPr="00DE1573">
              <w:t>Minimal</w:t>
            </w:r>
          </w:p>
        </w:tc>
      </w:tr>
      <w:tr w:rsidR="00EC6216" w:rsidRPr="00DE1573" w14:paraId="53835644" w14:textId="77777777" w:rsidTr="00F8372E">
        <w:tc>
          <w:tcPr>
            <w:tcW w:w="1368" w:type="dxa"/>
          </w:tcPr>
          <w:p w14:paraId="0C743BF2" w14:textId="77777777" w:rsidR="00EC6216" w:rsidRPr="00DE1573" w:rsidRDefault="00EC6216" w:rsidP="00F8372E">
            <w:r w:rsidRPr="00DE1573">
              <w:t>AG</w:t>
            </w:r>
          </w:p>
        </w:tc>
        <w:tc>
          <w:tcPr>
            <w:tcW w:w="5670" w:type="dxa"/>
          </w:tcPr>
          <w:p w14:paraId="622C7017" w14:textId="77777777" w:rsidR="00EC6216" w:rsidRPr="00DE1573" w:rsidRDefault="00EC6216" w:rsidP="00F8372E">
            <w:r w:rsidRPr="00DE1573">
              <w:t>Aerographer’s Mate</w:t>
            </w:r>
          </w:p>
        </w:tc>
        <w:tc>
          <w:tcPr>
            <w:tcW w:w="2520" w:type="dxa"/>
          </w:tcPr>
          <w:p w14:paraId="5DD51B40" w14:textId="77777777" w:rsidR="00EC6216" w:rsidRPr="00DE1573" w:rsidRDefault="00EC6216" w:rsidP="00F8372E">
            <w:r w:rsidRPr="00DE1573">
              <w:t>Minimal</w:t>
            </w:r>
          </w:p>
        </w:tc>
      </w:tr>
      <w:tr w:rsidR="00EC6216" w:rsidRPr="00DE1573" w14:paraId="7DA0C791" w14:textId="77777777" w:rsidTr="00F8372E">
        <w:tc>
          <w:tcPr>
            <w:tcW w:w="1368" w:type="dxa"/>
          </w:tcPr>
          <w:p w14:paraId="70915DBF" w14:textId="77777777" w:rsidR="00EC6216" w:rsidRPr="00DE1573" w:rsidRDefault="00EC6216" w:rsidP="00F8372E">
            <w:r w:rsidRPr="00DE1573">
              <w:t>AK</w:t>
            </w:r>
          </w:p>
        </w:tc>
        <w:tc>
          <w:tcPr>
            <w:tcW w:w="5670" w:type="dxa"/>
          </w:tcPr>
          <w:p w14:paraId="13C64992" w14:textId="77777777" w:rsidR="00EC6216" w:rsidRPr="00DE1573" w:rsidRDefault="00EC6216" w:rsidP="00F8372E">
            <w:r w:rsidRPr="00DE1573">
              <w:t>Aviation Storekeeper</w:t>
            </w:r>
          </w:p>
        </w:tc>
        <w:tc>
          <w:tcPr>
            <w:tcW w:w="2520" w:type="dxa"/>
          </w:tcPr>
          <w:p w14:paraId="39013025" w14:textId="77777777" w:rsidR="00EC6216" w:rsidRPr="00DE1573" w:rsidRDefault="00EC6216" w:rsidP="00F8372E">
            <w:r w:rsidRPr="00DE1573">
              <w:t>Minimal</w:t>
            </w:r>
          </w:p>
        </w:tc>
      </w:tr>
      <w:tr w:rsidR="00EC6216" w:rsidRPr="00DE1573" w14:paraId="24BEDBD8" w14:textId="77777777" w:rsidTr="00F8372E">
        <w:tc>
          <w:tcPr>
            <w:tcW w:w="1368" w:type="dxa"/>
          </w:tcPr>
          <w:p w14:paraId="1C14F47F" w14:textId="77777777" w:rsidR="00EC6216" w:rsidRPr="00DE1573" w:rsidRDefault="00EC6216" w:rsidP="00F8372E">
            <w:r w:rsidRPr="00DE1573">
              <w:t>AM</w:t>
            </w:r>
          </w:p>
        </w:tc>
        <w:tc>
          <w:tcPr>
            <w:tcW w:w="5670" w:type="dxa"/>
          </w:tcPr>
          <w:p w14:paraId="6AF4787D" w14:textId="77777777" w:rsidR="00EC6216" w:rsidRPr="00DE1573" w:rsidRDefault="00EC6216" w:rsidP="00F8372E">
            <w:r w:rsidRPr="00DE1573">
              <w:t>Aviation Structural Mechanic</w:t>
            </w:r>
          </w:p>
        </w:tc>
        <w:tc>
          <w:tcPr>
            <w:tcW w:w="2520" w:type="dxa"/>
          </w:tcPr>
          <w:p w14:paraId="3FBF30C5" w14:textId="77777777" w:rsidR="00EC6216" w:rsidRPr="00DE1573" w:rsidRDefault="00EC6216" w:rsidP="00F8372E">
            <w:r w:rsidRPr="00DE1573">
              <w:t>Probable</w:t>
            </w:r>
          </w:p>
        </w:tc>
      </w:tr>
      <w:tr w:rsidR="00EC6216" w:rsidRPr="00DE1573" w14:paraId="12DA21DC" w14:textId="77777777" w:rsidTr="00F8372E">
        <w:trPr>
          <w:cantSplit/>
          <w:trHeight w:val="135"/>
        </w:trPr>
        <w:tc>
          <w:tcPr>
            <w:tcW w:w="1368" w:type="dxa"/>
          </w:tcPr>
          <w:p w14:paraId="4904C4FC" w14:textId="77777777" w:rsidR="00EC6216" w:rsidRPr="00DE1573" w:rsidRDefault="00EC6216" w:rsidP="00F8372E">
            <w:r w:rsidRPr="00DE1573">
              <w:t>AME</w:t>
            </w:r>
          </w:p>
        </w:tc>
        <w:tc>
          <w:tcPr>
            <w:tcW w:w="5670" w:type="dxa"/>
          </w:tcPr>
          <w:p w14:paraId="5705D761" w14:textId="77777777" w:rsidR="00EC6216" w:rsidRPr="00DE1573" w:rsidRDefault="00EC6216" w:rsidP="00F8372E">
            <w:r w:rsidRPr="00DE1573">
              <w:t>Aviation Structural Mechanic (Safety Equipment)</w:t>
            </w:r>
          </w:p>
        </w:tc>
        <w:tc>
          <w:tcPr>
            <w:tcW w:w="2520" w:type="dxa"/>
          </w:tcPr>
          <w:p w14:paraId="16248A4B" w14:textId="77777777" w:rsidR="00EC6216" w:rsidRPr="00DE1573" w:rsidRDefault="00EC6216" w:rsidP="00F8372E">
            <w:r w:rsidRPr="00DE1573">
              <w:t>Probable</w:t>
            </w:r>
          </w:p>
        </w:tc>
      </w:tr>
      <w:tr w:rsidR="00EC6216" w:rsidRPr="00DE1573" w14:paraId="086FF746" w14:textId="77777777" w:rsidTr="00F8372E">
        <w:trPr>
          <w:cantSplit/>
          <w:trHeight w:val="135"/>
        </w:trPr>
        <w:tc>
          <w:tcPr>
            <w:tcW w:w="1368" w:type="dxa"/>
          </w:tcPr>
          <w:p w14:paraId="5551BAC1" w14:textId="77777777" w:rsidR="00EC6216" w:rsidRPr="00DE1573" w:rsidRDefault="00EC6216" w:rsidP="00F8372E">
            <w:r w:rsidRPr="00DE1573">
              <w:t>AMH</w:t>
            </w:r>
          </w:p>
        </w:tc>
        <w:tc>
          <w:tcPr>
            <w:tcW w:w="5670" w:type="dxa"/>
          </w:tcPr>
          <w:p w14:paraId="3B76630B" w14:textId="77777777" w:rsidR="00EC6216" w:rsidRPr="00DE1573" w:rsidRDefault="00EC6216" w:rsidP="00F8372E">
            <w:r w:rsidRPr="00DE1573">
              <w:t>Aviation Structural Mechanic (Hydraulics)</w:t>
            </w:r>
          </w:p>
        </w:tc>
        <w:tc>
          <w:tcPr>
            <w:tcW w:w="2520" w:type="dxa"/>
          </w:tcPr>
          <w:p w14:paraId="47C26A2C" w14:textId="77777777" w:rsidR="00EC6216" w:rsidRPr="00DE1573" w:rsidRDefault="00EC6216" w:rsidP="00F8372E">
            <w:r w:rsidRPr="00DE1573">
              <w:t>Probable</w:t>
            </w:r>
          </w:p>
        </w:tc>
      </w:tr>
      <w:tr w:rsidR="00EC6216" w:rsidRPr="00DE1573" w14:paraId="6B9AF5EE" w14:textId="77777777" w:rsidTr="00F8372E">
        <w:tc>
          <w:tcPr>
            <w:tcW w:w="1368" w:type="dxa"/>
          </w:tcPr>
          <w:p w14:paraId="4A6DF160" w14:textId="77777777" w:rsidR="00EC6216" w:rsidRPr="00DE1573" w:rsidRDefault="00EC6216" w:rsidP="00F8372E">
            <w:r w:rsidRPr="00DE1573">
              <w:t>AMS</w:t>
            </w:r>
          </w:p>
        </w:tc>
        <w:tc>
          <w:tcPr>
            <w:tcW w:w="5670" w:type="dxa"/>
          </w:tcPr>
          <w:p w14:paraId="76D1CB82" w14:textId="77777777" w:rsidR="00EC6216" w:rsidRPr="00DE1573" w:rsidRDefault="00EC6216" w:rsidP="00F8372E">
            <w:r w:rsidRPr="00DE1573">
              <w:t>Aviation Structural Mechanic (Structural)</w:t>
            </w:r>
          </w:p>
        </w:tc>
        <w:tc>
          <w:tcPr>
            <w:tcW w:w="2520" w:type="dxa"/>
          </w:tcPr>
          <w:p w14:paraId="6979400C" w14:textId="77777777" w:rsidR="00EC6216" w:rsidRPr="00DE1573" w:rsidRDefault="00EC6216" w:rsidP="00F8372E">
            <w:r w:rsidRPr="00DE1573">
              <w:t>Probable</w:t>
            </w:r>
          </w:p>
        </w:tc>
      </w:tr>
      <w:tr w:rsidR="00EC6216" w:rsidRPr="00DE1573" w14:paraId="64396ED2" w14:textId="77777777" w:rsidTr="00F8372E">
        <w:tc>
          <w:tcPr>
            <w:tcW w:w="1368" w:type="dxa"/>
          </w:tcPr>
          <w:p w14:paraId="32D9A90B" w14:textId="77777777" w:rsidR="00EC6216" w:rsidRPr="00DE1573" w:rsidRDefault="00EC6216" w:rsidP="00F8372E">
            <w:r w:rsidRPr="00DE1573">
              <w:t>AN</w:t>
            </w:r>
          </w:p>
        </w:tc>
        <w:tc>
          <w:tcPr>
            <w:tcW w:w="5670" w:type="dxa"/>
          </w:tcPr>
          <w:p w14:paraId="6336CEF4" w14:textId="77777777" w:rsidR="00EC6216" w:rsidRPr="00DE1573" w:rsidRDefault="00EC6216" w:rsidP="00F8372E">
            <w:r w:rsidRPr="00DE1573">
              <w:t>Airman</w:t>
            </w:r>
          </w:p>
        </w:tc>
        <w:tc>
          <w:tcPr>
            <w:tcW w:w="2520" w:type="dxa"/>
          </w:tcPr>
          <w:p w14:paraId="48AE5D2D" w14:textId="77777777" w:rsidR="00EC6216" w:rsidRPr="00DE1573" w:rsidRDefault="00EC6216" w:rsidP="00F8372E">
            <w:r w:rsidRPr="00DE1573">
              <w:t>Minimal</w:t>
            </w:r>
          </w:p>
        </w:tc>
      </w:tr>
      <w:tr w:rsidR="00EC6216" w:rsidRPr="00DE1573" w14:paraId="7DA0140A" w14:textId="77777777" w:rsidTr="00F8372E">
        <w:tc>
          <w:tcPr>
            <w:tcW w:w="1368" w:type="dxa"/>
          </w:tcPr>
          <w:p w14:paraId="0A5D6893" w14:textId="77777777" w:rsidR="00EC6216" w:rsidRPr="00DE1573" w:rsidRDefault="00EC6216" w:rsidP="00F8372E">
            <w:r w:rsidRPr="00DE1573">
              <w:t>AO</w:t>
            </w:r>
          </w:p>
        </w:tc>
        <w:tc>
          <w:tcPr>
            <w:tcW w:w="5670" w:type="dxa"/>
          </w:tcPr>
          <w:p w14:paraId="3C8193AA" w14:textId="77777777" w:rsidR="00EC6216" w:rsidRPr="00DE1573" w:rsidRDefault="00EC6216" w:rsidP="00F8372E">
            <w:r w:rsidRPr="00DE1573">
              <w:t xml:space="preserve">Aviation </w:t>
            </w:r>
            <w:proofErr w:type="spellStart"/>
            <w:r w:rsidRPr="00DE1573">
              <w:t>Ordnanceman</w:t>
            </w:r>
            <w:proofErr w:type="spellEnd"/>
          </w:p>
        </w:tc>
        <w:tc>
          <w:tcPr>
            <w:tcW w:w="2520" w:type="dxa"/>
          </w:tcPr>
          <w:p w14:paraId="520AA671" w14:textId="77777777" w:rsidR="00EC6216" w:rsidRPr="00DE1573" w:rsidRDefault="00EC6216" w:rsidP="00F8372E">
            <w:r w:rsidRPr="00DE1573">
              <w:t>Minimal</w:t>
            </w:r>
          </w:p>
        </w:tc>
      </w:tr>
      <w:tr w:rsidR="00EC6216" w:rsidRPr="00DE1573" w14:paraId="4BDCCE48" w14:textId="77777777" w:rsidTr="00F8372E">
        <w:tc>
          <w:tcPr>
            <w:tcW w:w="1368" w:type="dxa"/>
          </w:tcPr>
          <w:p w14:paraId="012DBF6B" w14:textId="77777777" w:rsidR="00EC6216" w:rsidRPr="00DE1573" w:rsidRDefault="00EC6216" w:rsidP="00F8372E">
            <w:r w:rsidRPr="00DE1573">
              <w:t>AQ</w:t>
            </w:r>
          </w:p>
        </w:tc>
        <w:tc>
          <w:tcPr>
            <w:tcW w:w="5670" w:type="dxa"/>
          </w:tcPr>
          <w:p w14:paraId="5315220B" w14:textId="77777777" w:rsidR="00EC6216" w:rsidRPr="00DE1573" w:rsidRDefault="00EC6216" w:rsidP="00F8372E">
            <w:r w:rsidRPr="00DE1573">
              <w:t>Aviation Fire Control Technician</w:t>
            </w:r>
          </w:p>
        </w:tc>
        <w:tc>
          <w:tcPr>
            <w:tcW w:w="2520" w:type="dxa"/>
          </w:tcPr>
          <w:p w14:paraId="6CC7E659" w14:textId="77777777" w:rsidR="00EC6216" w:rsidRPr="00DE1573" w:rsidRDefault="00EC6216" w:rsidP="00F8372E">
            <w:r w:rsidRPr="00DE1573">
              <w:t>Highly Probable</w:t>
            </w:r>
          </w:p>
        </w:tc>
      </w:tr>
      <w:tr w:rsidR="00EC6216" w:rsidRPr="00DE1573" w14:paraId="6CA424F4" w14:textId="77777777" w:rsidTr="00F8372E">
        <w:tc>
          <w:tcPr>
            <w:tcW w:w="1368" w:type="dxa"/>
          </w:tcPr>
          <w:p w14:paraId="70E273D9" w14:textId="77777777" w:rsidR="00EC6216" w:rsidRPr="00DE1573" w:rsidRDefault="00EC6216" w:rsidP="00F8372E">
            <w:r w:rsidRPr="00DE1573">
              <w:t>AR</w:t>
            </w:r>
          </w:p>
        </w:tc>
        <w:tc>
          <w:tcPr>
            <w:tcW w:w="5670" w:type="dxa"/>
          </w:tcPr>
          <w:p w14:paraId="3A8347EA" w14:textId="77777777" w:rsidR="00EC6216" w:rsidRPr="00DE1573" w:rsidRDefault="00EC6216" w:rsidP="00F8372E">
            <w:r w:rsidRPr="00DE1573">
              <w:t>Airman Recruit</w:t>
            </w:r>
          </w:p>
        </w:tc>
        <w:tc>
          <w:tcPr>
            <w:tcW w:w="2520" w:type="dxa"/>
          </w:tcPr>
          <w:p w14:paraId="596AAE0E" w14:textId="77777777" w:rsidR="00EC6216" w:rsidRPr="00DE1573" w:rsidRDefault="00EC6216" w:rsidP="00F8372E">
            <w:r w:rsidRPr="00DE1573">
              <w:t>Minimal</w:t>
            </w:r>
          </w:p>
        </w:tc>
      </w:tr>
      <w:tr w:rsidR="00EC6216" w:rsidRPr="00DE1573" w14:paraId="39EDC664" w14:textId="77777777" w:rsidTr="00F8372E">
        <w:tc>
          <w:tcPr>
            <w:tcW w:w="1368" w:type="dxa"/>
          </w:tcPr>
          <w:p w14:paraId="702A849F" w14:textId="77777777" w:rsidR="00EC6216" w:rsidRPr="00DE1573" w:rsidRDefault="00EC6216" w:rsidP="00F8372E">
            <w:r w:rsidRPr="00DE1573">
              <w:lastRenderedPageBreak/>
              <w:t>ARM</w:t>
            </w:r>
          </w:p>
        </w:tc>
        <w:tc>
          <w:tcPr>
            <w:tcW w:w="5670" w:type="dxa"/>
          </w:tcPr>
          <w:p w14:paraId="2A2EBBD4" w14:textId="77777777" w:rsidR="00EC6216" w:rsidRPr="00DE1573" w:rsidRDefault="00EC6216" w:rsidP="00F8372E">
            <w:r w:rsidRPr="00DE1573">
              <w:t>Aviation Radioman</w:t>
            </w:r>
          </w:p>
        </w:tc>
        <w:tc>
          <w:tcPr>
            <w:tcW w:w="2520" w:type="dxa"/>
          </w:tcPr>
          <w:p w14:paraId="5DE8756D" w14:textId="77777777" w:rsidR="00EC6216" w:rsidRPr="00DE1573" w:rsidRDefault="00EC6216" w:rsidP="00F8372E">
            <w:r w:rsidRPr="00DE1573">
              <w:t>Probable</w:t>
            </w:r>
          </w:p>
        </w:tc>
      </w:tr>
      <w:tr w:rsidR="00EC6216" w:rsidRPr="00DE1573" w14:paraId="6974E940" w14:textId="77777777" w:rsidTr="00F8372E">
        <w:tc>
          <w:tcPr>
            <w:tcW w:w="1368" w:type="dxa"/>
          </w:tcPr>
          <w:p w14:paraId="71E0C477" w14:textId="77777777" w:rsidR="00EC6216" w:rsidRPr="00DE1573" w:rsidRDefault="00EC6216" w:rsidP="00F8372E">
            <w:r w:rsidRPr="00DE1573">
              <w:t>AS</w:t>
            </w:r>
          </w:p>
        </w:tc>
        <w:tc>
          <w:tcPr>
            <w:tcW w:w="5670" w:type="dxa"/>
          </w:tcPr>
          <w:p w14:paraId="56DDF6C6" w14:textId="77777777" w:rsidR="00EC6216" w:rsidRPr="00DE1573" w:rsidRDefault="00EC6216" w:rsidP="00F8372E">
            <w:r w:rsidRPr="00DE1573">
              <w:t>Aviation Support Equipment Technician</w:t>
            </w:r>
          </w:p>
        </w:tc>
        <w:tc>
          <w:tcPr>
            <w:tcW w:w="2520" w:type="dxa"/>
          </w:tcPr>
          <w:p w14:paraId="1C50F933" w14:textId="77777777" w:rsidR="00EC6216" w:rsidRPr="00DE1573" w:rsidRDefault="00EC6216" w:rsidP="00F8372E">
            <w:r w:rsidRPr="00DE1573">
              <w:t>Probable</w:t>
            </w:r>
          </w:p>
        </w:tc>
      </w:tr>
      <w:tr w:rsidR="00EC6216" w:rsidRPr="00DE1573" w14:paraId="32A83DA0" w14:textId="77777777" w:rsidTr="00F8372E">
        <w:tc>
          <w:tcPr>
            <w:tcW w:w="1368" w:type="dxa"/>
          </w:tcPr>
          <w:p w14:paraId="45252047" w14:textId="77777777" w:rsidR="00EC6216" w:rsidRPr="00DE1573" w:rsidRDefault="00EC6216" w:rsidP="00F8372E">
            <w:r w:rsidRPr="00DE1573">
              <w:t>AT</w:t>
            </w:r>
          </w:p>
        </w:tc>
        <w:tc>
          <w:tcPr>
            <w:tcW w:w="5670" w:type="dxa"/>
          </w:tcPr>
          <w:p w14:paraId="3C543071" w14:textId="77777777" w:rsidR="00EC6216" w:rsidRPr="00DE1573" w:rsidRDefault="00EC6216" w:rsidP="00F8372E">
            <w:r w:rsidRPr="00DE1573">
              <w:t>Aviation Electronic Technician</w:t>
            </w:r>
          </w:p>
        </w:tc>
        <w:tc>
          <w:tcPr>
            <w:tcW w:w="2520" w:type="dxa"/>
          </w:tcPr>
          <w:p w14:paraId="04D32111" w14:textId="77777777" w:rsidR="00EC6216" w:rsidRPr="00DE1573" w:rsidRDefault="00EC6216" w:rsidP="00F8372E">
            <w:r w:rsidRPr="00DE1573">
              <w:t>Probable</w:t>
            </w:r>
          </w:p>
        </w:tc>
      </w:tr>
      <w:tr w:rsidR="00EC6216" w:rsidRPr="00DE1573" w14:paraId="129FF3EA" w14:textId="77777777" w:rsidTr="00F8372E">
        <w:tc>
          <w:tcPr>
            <w:tcW w:w="1368" w:type="dxa"/>
          </w:tcPr>
          <w:p w14:paraId="7B5102A8" w14:textId="77777777" w:rsidR="00EC6216" w:rsidRPr="00DE1573" w:rsidRDefault="00EC6216" w:rsidP="00F8372E">
            <w:r w:rsidRPr="00DE1573">
              <w:t>AW</w:t>
            </w:r>
          </w:p>
        </w:tc>
        <w:tc>
          <w:tcPr>
            <w:tcW w:w="5670" w:type="dxa"/>
          </w:tcPr>
          <w:p w14:paraId="6DDFD792" w14:textId="77777777" w:rsidR="00EC6216" w:rsidRPr="00DE1573" w:rsidRDefault="00EC6216" w:rsidP="00F8372E">
            <w:r w:rsidRPr="00DE1573">
              <w:t>Aviation Antisubmarine Warfare Operator</w:t>
            </w:r>
          </w:p>
        </w:tc>
        <w:tc>
          <w:tcPr>
            <w:tcW w:w="2520" w:type="dxa"/>
          </w:tcPr>
          <w:p w14:paraId="3F5DF580" w14:textId="77777777" w:rsidR="00EC6216" w:rsidRPr="00DE1573" w:rsidRDefault="00EC6216" w:rsidP="00F8372E">
            <w:r w:rsidRPr="00DE1573">
              <w:t>Probable</w:t>
            </w:r>
          </w:p>
        </w:tc>
      </w:tr>
      <w:tr w:rsidR="00EC6216" w:rsidRPr="00DE1573" w14:paraId="4F6D5431" w14:textId="77777777" w:rsidTr="00F8372E">
        <w:tc>
          <w:tcPr>
            <w:tcW w:w="1368" w:type="dxa"/>
          </w:tcPr>
          <w:p w14:paraId="1D5D0544" w14:textId="77777777" w:rsidR="00EC6216" w:rsidRPr="00DE1573" w:rsidRDefault="00EC6216" w:rsidP="00F8372E">
            <w:r w:rsidRPr="00DE1573">
              <w:t>AX</w:t>
            </w:r>
          </w:p>
        </w:tc>
        <w:tc>
          <w:tcPr>
            <w:tcW w:w="5670" w:type="dxa"/>
          </w:tcPr>
          <w:p w14:paraId="149FD075" w14:textId="1AF89504" w:rsidR="00EC6216" w:rsidRPr="00DE1573" w:rsidRDefault="0072698E" w:rsidP="00F8372E">
            <w:r w:rsidRPr="00DE1573">
              <w:t xml:space="preserve">Aviation </w:t>
            </w:r>
            <w:proofErr w:type="spellStart"/>
            <w:r w:rsidRPr="00DE1573">
              <w:t>Antisub</w:t>
            </w:r>
            <w:proofErr w:type="spellEnd"/>
            <w:r w:rsidRPr="00DE1573">
              <w:t xml:space="preserve"> War</w:t>
            </w:r>
            <w:r w:rsidR="00EC6216" w:rsidRPr="00DE1573">
              <w:t>fare Technician</w:t>
            </w:r>
          </w:p>
        </w:tc>
        <w:tc>
          <w:tcPr>
            <w:tcW w:w="2520" w:type="dxa"/>
          </w:tcPr>
          <w:p w14:paraId="520CC84F" w14:textId="77777777" w:rsidR="00EC6216" w:rsidRPr="00DE1573" w:rsidRDefault="00EC6216" w:rsidP="00F8372E">
            <w:r w:rsidRPr="00DE1573">
              <w:t>Probable</w:t>
            </w:r>
          </w:p>
        </w:tc>
      </w:tr>
      <w:tr w:rsidR="00EC6216" w:rsidRPr="00DE1573" w14:paraId="3D0851F6" w14:textId="77777777" w:rsidTr="00F8372E">
        <w:tc>
          <w:tcPr>
            <w:tcW w:w="1368" w:type="dxa"/>
          </w:tcPr>
          <w:p w14:paraId="3043BF4F" w14:textId="77777777" w:rsidR="00EC6216" w:rsidRPr="00DE1573" w:rsidRDefault="00EC6216" w:rsidP="00F8372E">
            <w:r w:rsidRPr="00DE1573">
              <w:t>AZ</w:t>
            </w:r>
          </w:p>
        </w:tc>
        <w:tc>
          <w:tcPr>
            <w:tcW w:w="5670" w:type="dxa"/>
          </w:tcPr>
          <w:p w14:paraId="320EF591" w14:textId="77777777" w:rsidR="00EC6216" w:rsidRPr="00DE1573" w:rsidRDefault="00EC6216" w:rsidP="00F8372E">
            <w:r w:rsidRPr="00DE1573">
              <w:t xml:space="preserve">Aviation Maintenance </w:t>
            </w:r>
            <w:proofErr w:type="spellStart"/>
            <w:r w:rsidRPr="00DE1573">
              <w:t>Administrationman</w:t>
            </w:r>
            <w:proofErr w:type="spellEnd"/>
          </w:p>
        </w:tc>
        <w:tc>
          <w:tcPr>
            <w:tcW w:w="2520" w:type="dxa"/>
          </w:tcPr>
          <w:p w14:paraId="02EF9A8A" w14:textId="77777777" w:rsidR="00EC6216" w:rsidRPr="00DE1573" w:rsidRDefault="00EC6216" w:rsidP="00F8372E">
            <w:r w:rsidRPr="00DE1573">
              <w:t>Minimal</w:t>
            </w:r>
          </w:p>
        </w:tc>
      </w:tr>
      <w:tr w:rsidR="00EC6216" w:rsidRPr="00DE1573" w14:paraId="5BE2E660" w14:textId="77777777" w:rsidTr="00F8372E">
        <w:tc>
          <w:tcPr>
            <w:tcW w:w="1368" w:type="dxa"/>
          </w:tcPr>
          <w:p w14:paraId="033D1C32" w14:textId="77777777" w:rsidR="00EC6216" w:rsidRPr="00DE1573" w:rsidRDefault="00EC6216" w:rsidP="00F8372E">
            <w:r w:rsidRPr="00DE1573">
              <w:t>B</w:t>
            </w:r>
          </w:p>
        </w:tc>
        <w:tc>
          <w:tcPr>
            <w:tcW w:w="5670" w:type="dxa"/>
          </w:tcPr>
          <w:p w14:paraId="5A6F5BC4" w14:textId="77777777" w:rsidR="00EC6216" w:rsidRPr="00DE1573" w:rsidRDefault="00EC6216" w:rsidP="00F8372E">
            <w:r w:rsidRPr="00DE1573">
              <w:t>Boilermaker (WWII)</w:t>
            </w:r>
          </w:p>
        </w:tc>
        <w:tc>
          <w:tcPr>
            <w:tcW w:w="2520" w:type="dxa"/>
          </w:tcPr>
          <w:p w14:paraId="7D20517B" w14:textId="77777777" w:rsidR="00EC6216" w:rsidRPr="00DE1573" w:rsidRDefault="00EC6216" w:rsidP="00F8372E">
            <w:r w:rsidRPr="00DE1573">
              <w:t>Highly Probable</w:t>
            </w:r>
          </w:p>
        </w:tc>
      </w:tr>
      <w:tr w:rsidR="00EC6216" w:rsidRPr="00DE1573" w14:paraId="44243FE2" w14:textId="77777777" w:rsidTr="00F8372E">
        <w:tc>
          <w:tcPr>
            <w:tcW w:w="1368" w:type="dxa"/>
          </w:tcPr>
          <w:p w14:paraId="2AACD31C" w14:textId="77777777" w:rsidR="00EC6216" w:rsidRPr="00DE1573" w:rsidRDefault="00EC6216" w:rsidP="00F8372E">
            <w:r w:rsidRPr="00DE1573">
              <w:t>BU</w:t>
            </w:r>
          </w:p>
        </w:tc>
        <w:tc>
          <w:tcPr>
            <w:tcW w:w="5670" w:type="dxa"/>
          </w:tcPr>
          <w:p w14:paraId="432B91AB" w14:textId="77777777" w:rsidR="00EC6216" w:rsidRPr="00DE1573" w:rsidRDefault="00EC6216" w:rsidP="00F8372E">
            <w:r w:rsidRPr="00DE1573">
              <w:t>Builder</w:t>
            </w:r>
          </w:p>
        </w:tc>
        <w:tc>
          <w:tcPr>
            <w:tcW w:w="2520" w:type="dxa"/>
          </w:tcPr>
          <w:p w14:paraId="7980254F" w14:textId="77777777" w:rsidR="00EC6216" w:rsidRPr="00DE1573" w:rsidRDefault="00EC6216" w:rsidP="00F8372E">
            <w:r w:rsidRPr="00DE1573">
              <w:t>Probable</w:t>
            </w:r>
          </w:p>
        </w:tc>
      </w:tr>
      <w:tr w:rsidR="00EC6216" w:rsidRPr="00DE1573" w14:paraId="2E06EECE" w14:textId="77777777" w:rsidTr="00F8372E">
        <w:tc>
          <w:tcPr>
            <w:tcW w:w="1368" w:type="dxa"/>
          </w:tcPr>
          <w:p w14:paraId="3DB3A86E" w14:textId="77777777" w:rsidR="00EC6216" w:rsidRPr="00DE1573" w:rsidRDefault="00EC6216" w:rsidP="00F8372E">
            <w:r w:rsidRPr="00DE1573">
              <w:t>BM</w:t>
            </w:r>
          </w:p>
        </w:tc>
        <w:tc>
          <w:tcPr>
            <w:tcW w:w="5670" w:type="dxa"/>
          </w:tcPr>
          <w:p w14:paraId="305149F2" w14:textId="77777777" w:rsidR="00EC6216" w:rsidRPr="00DE1573" w:rsidRDefault="00EC6216" w:rsidP="00F8372E">
            <w:r w:rsidRPr="00DE1573">
              <w:t>Boatswain’s Mate</w:t>
            </w:r>
          </w:p>
        </w:tc>
        <w:tc>
          <w:tcPr>
            <w:tcW w:w="2520" w:type="dxa"/>
          </w:tcPr>
          <w:p w14:paraId="398E956B" w14:textId="77777777" w:rsidR="00EC6216" w:rsidRPr="00DE1573" w:rsidRDefault="00EC6216" w:rsidP="00F8372E">
            <w:r w:rsidRPr="00DE1573">
              <w:t>Minimal</w:t>
            </w:r>
          </w:p>
        </w:tc>
      </w:tr>
      <w:tr w:rsidR="00EC6216" w:rsidRPr="00DE1573" w14:paraId="2F01D856" w14:textId="77777777" w:rsidTr="00F8372E">
        <w:tc>
          <w:tcPr>
            <w:tcW w:w="1368" w:type="dxa"/>
          </w:tcPr>
          <w:p w14:paraId="5B0432DF" w14:textId="77777777" w:rsidR="00EC6216" w:rsidRPr="00DE1573" w:rsidRDefault="00EC6216" w:rsidP="00F8372E">
            <w:r w:rsidRPr="00DE1573">
              <w:t>BR</w:t>
            </w:r>
          </w:p>
        </w:tc>
        <w:tc>
          <w:tcPr>
            <w:tcW w:w="5670" w:type="dxa"/>
          </w:tcPr>
          <w:p w14:paraId="4B206D47" w14:textId="77777777" w:rsidR="00EC6216" w:rsidRPr="00DE1573" w:rsidRDefault="00EC6216" w:rsidP="00F8372E">
            <w:r w:rsidRPr="00DE1573">
              <w:t>Boilermaker</w:t>
            </w:r>
          </w:p>
        </w:tc>
        <w:tc>
          <w:tcPr>
            <w:tcW w:w="2520" w:type="dxa"/>
          </w:tcPr>
          <w:p w14:paraId="360D1595" w14:textId="77777777" w:rsidR="00EC6216" w:rsidRPr="00DE1573" w:rsidRDefault="00EC6216" w:rsidP="00F8372E">
            <w:r w:rsidRPr="00DE1573">
              <w:t>Highly Probable</w:t>
            </w:r>
          </w:p>
        </w:tc>
      </w:tr>
      <w:tr w:rsidR="00EC6216" w:rsidRPr="00DE1573" w14:paraId="129D384B" w14:textId="77777777" w:rsidTr="00F8372E">
        <w:tc>
          <w:tcPr>
            <w:tcW w:w="1368" w:type="dxa"/>
          </w:tcPr>
          <w:p w14:paraId="74D52199" w14:textId="77777777" w:rsidR="00EC6216" w:rsidRPr="00DE1573" w:rsidRDefault="00EC6216" w:rsidP="00F8372E">
            <w:r w:rsidRPr="00DE1573">
              <w:t>BT</w:t>
            </w:r>
          </w:p>
        </w:tc>
        <w:tc>
          <w:tcPr>
            <w:tcW w:w="5670" w:type="dxa"/>
          </w:tcPr>
          <w:p w14:paraId="2F76D9ED" w14:textId="77777777" w:rsidR="00EC6216" w:rsidRPr="00DE1573" w:rsidRDefault="00EC6216" w:rsidP="00F8372E">
            <w:r w:rsidRPr="00DE1573">
              <w:t>Boiler Technician</w:t>
            </w:r>
          </w:p>
        </w:tc>
        <w:tc>
          <w:tcPr>
            <w:tcW w:w="2520" w:type="dxa"/>
          </w:tcPr>
          <w:p w14:paraId="7D932FC9" w14:textId="77777777" w:rsidR="00EC6216" w:rsidRPr="00DE1573" w:rsidRDefault="00EC6216" w:rsidP="00F8372E">
            <w:r w:rsidRPr="00DE1573">
              <w:t>Highly Probable</w:t>
            </w:r>
          </w:p>
        </w:tc>
      </w:tr>
      <w:tr w:rsidR="00EC6216" w:rsidRPr="00DE1573" w14:paraId="66636332" w14:textId="77777777" w:rsidTr="00F8372E">
        <w:tc>
          <w:tcPr>
            <w:tcW w:w="1368" w:type="dxa"/>
          </w:tcPr>
          <w:p w14:paraId="34855BE8" w14:textId="77777777" w:rsidR="00EC6216" w:rsidRPr="00DE1573" w:rsidRDefault="00EC6216" w:rsidP="00F8372E">
            <w:r w:rsidRPr="00DE1573">
              <w:t>CD</w:t>
            </w:r>
          </w:p>
        </w:tc>
        <w:tc>
          <w:tcPr>
            <w:tcW w:w="5670" w:type="dxa"/>
          </w:tcPr>
          <w:p w14:paraId="7B2391C5" w14:textId="77777777" w:rsidR="00EC6216" w:rsidRPr="00DE1573" w:rsidRDefault="00EC6216" w:rsidP="00F8372E">
            <w:r w:rsidRPr="00DE1573">
              <w:t>Construction Driver</w:t>
            </w:r>
          </w:p>
        </w:tc>
        <w:tc>
          <w:tcPr>
            <w:tcW w:w="2520" w:type="dxa"/>
          </w:tcPr>
          <w:p w14:paraId="1E9C1F24" w14:textId="77777777" w:rsidR="00EC6216" w:rsidRPr="00DE1573" w:rsidRDefault="00EC6216" w:rsidP="00F8372E">
            <w:r w:rsidRPr="00DE1573">
              <w:t>Probable</w:t>
            </w:r>
          </w:p>
        </w:tc>
      </w:tr>
      <w:tr w:rsidR="00EC6216" w:rsidRPr="00DE1573" w14:paraId="5E1DFF43" w14:textId="77777777" w:rsidTr="00F8372E">
        <w:tc>
          <w:tcPr>
            <w:tcW w:w="1368" w:type="dxa"/>
          </w:tcPr>
          <w:p w14:paraId="0DE15B12" w14:textId="77777777" w:rsidR="00EC6216" w:rsidRPr="00DE1573" w:rsidRDefault="00EC6216" w:rsidP="00F8372E">
            <w:r w:rsidRPr="00DE1573">
              <w:t>CE</w:t>
            </w:r>
          </w:p>
        </w:tc>
        <w:tc>
          <w:tcPr>
            <w:tcW w:w="5670" w:type="dxa"/>
          </w:tcPr>
          <w:p w14:paraId="196F7637" w14:textId="77777777" w:rsidR="00EC6216" w:rsidRPr="00DE1573" w:rsidRDefault="00EC6216" w:rsidP="00F8372E">
            <w:r w:rsidRPr="00DE1573">
              <w:t>Construction Electrician</w:t>
            </w:r>
          </w:p>
        </w:tc>
        <w:tc>
          <w:tcPr>
            <w:tcW w:w="2520" w:type="dxa"/>
          </w:tcPr>
          <w:p w14:paraId="6416EA0E" w14:textId="77777777" w:rsidR="00EC6216" w:rsidRPr="00DE1573" w:rsidRDefault="00EC6216" w:rsidP="00F8372E">
            <w:r w:rsidRPr="00DE1573">
              <w:t>Probable</w:t>
            </w:r>
          </w:p>
        </w:tc>
      </w:tr>
      <w:tr w:rsidR="00EC6216" w:rsidRPr="00DE1573" w14:paraId="6328B81B" w14:textId="77777777" w:rsidTr="00F8372E">
        <w:tc>
          <w:tcPr>
            <w:tcW w:w="1368" w:type="dxa"/>
          </w:tcPr>
          <w:p w14:paraId="3FD6A7EC" w14:textId="77777777" w:rsidR="00EC6216" w:rsidRPr="00DE1573" w:rsidRDefault="00EC6216" w:rsidP="00F8372E">
            <w:r w:rsidRPr="00DE1573">
              <w:t>CM</w:t>
            </w:r>
          </w:p>
        </w:tc>
        <w:tc>
          <w:tcPr>
            <w:tcW w:w="5670" w:type="dxa"/>
          </w:tcPr>
          <w:p w14:paraId="28F4E8DE" w14:textId="77777777" w:rsidR="00EC6216" w:rsidRPr="00DE1573" w:rsidRDefault="00EC6216" w:rsidP="00F8372E">
            <w:r w:rsidRPr="00DE1573">
              <w:t>Construction Mechanic</w:t>
            </w:r>
          </w:p>
        </w:tc>
        <w:tc>
          <w:tcPr>
            <w:tcW w:w="2520" w:type="dxa"/>
          </w:tcPr>
          <w:p w14:paraId="56966836" w14:textId="77777777" w:rsidR="00EC6216" w:rsidRPr="00DE1573" w:rsidRDefault="00EC6216" w:rsidP="00F8372E">
            <w:r w:rsidRPr="00DE1573">
              <w:t>Minimal</w:t>
            </w:r>
          </w:p>
        </w:tc>
      </w:tr>
      <w:tr w:rsidR="00EC6216" w:rsidRPr="00DE1573" w14:paraId="6102A593" w14:textId="77777777" w:rsidTr="00F8372E">
        <w:tc>
          <w:tcPr>
            <w:tcW w:w="1368" w:type="dxa"/>
          </w:tcPr>
          <w:p w14:paraId="2C2BD181" w14:textId="77777777" w:rsidR="00EC6216" w:rsidRPr="00DE1573" w:rsidRDefault="00EC6216" w:rsidP="00F8372E">
            <w:r w:rsidRPr="00DE1573">
              <w:t>CN</w:t>
            </w:r>
          </w:p>
        </w:tc>
        <w:tc>
          <w:tcPr>
            <w:tcW w:w="5670" w:type="dxa"/>
          </w:tcPr>
          <w:p w14:paraId="281118B5" w14:textId="77777777" w:rsidR="00EC6216" w:rsidRPr="00DE1573" w:rsidRDefault="00EC6216" w:rsidP="00F8372E">
            <w:proofErr w:type="spellStart"/>
            <w:r w:rsidRPr="00DE1573">
              <w:t>Constructionman</w:t>
            </w:r>
            <w:proofErr w:type="spellEnd"/>
          </w:p>
        </w:tc>
        <w:tc>
          <w:tcPr>
            <w:tcW w:w="2520" w:type="dxa"/>
          </w:tcPr>
          <w:p w14:paraId="32ED9F3D" w14:textId="77777777" w:rsidR="00EC6216" w:rsidRPr="00DE1573" w:rsidRDefault="00EC6216" w:rsidP="00F8372E">
            <w:r w:rsidRPr="00DE1573">
              <w:t>Probable</w:t>
            </w:r>
          </w:p>
        </w:tc>
      </w:tr>
      <w:tr w:rsidR="00EC6216" w:rsidRPr="00DE1573" w14:paraId="1546F6A6" w14:textId="77777777" w:rsidTr="00F8372E">
        <w:tc>
          <w:tcPr>
            <w:tcW w:w="1368" w:type="dxa"/>
          </w:tcPr>
          <w:p w14:paraId="3D96DE01" w14:textId="77777777" w:rsidR="00EC6216" w:rsidRPr="00DE1573" w:rsidRDefault="00EC6216" w:rsidP="00F8372E">
            <w:r w:rsidRPr="00DE1573">
              <w:t>Cox</w:t>
            </w:r>
          </w:p>
        </w:tc>
        <w:tc>
          <w:tcPr>
            <w:tcW w:w="5670" w:type="dxa"/>
          </w:tcPr>
          <w:p w14:paraId="5FCFB1E4" w14:textId="77777777" w:rsidR="00EC6216" w:rsidRPr="00DE1573" w:rsidRDefault="00EC6216" w:rsidP="00F8372E">
            <w:r w:rsidRPr="00DE1573">
              <w:t>Coxswain</w:t>
            </w:r>
          </w:p>
        </w:tc>
        <w:tc>
          <w:tcPr>
            <w:tcW w:w="2520" w:type="dxa"/>
          </w:tcPr>
          <w:p w14:paraId="3DE85663" w14:textId="77777777" w:rsidR="00EC6216" w:rsidRPr="00DE1573" w:rsidRDefault="00EC6216" w:rsidP="00F8372E">
            <w:r w:rsidRPr="00DE1573">
              <w:t>Minimal</w:t>
            </w:r>
          </w:p>
        </w:tc>
      </w:tr>
      <w:tr w:rsidR="00EC6216" w:rsidRPr="00DE1573" w14:paraId="07CD9B6C" w14:textId="77777777" w:rsidTr="00F8372E">
        <w:tc>
          <w:tcPr>
            <w:tcW w:w="1368" w:type="dxa"/>
          </w:tcPr>
          <w:p w14:paraId="5E70FA3F" w14:textId="77777777" w:rsidR="00EC6216" w:rsidRPr="00DE1573" w:rsidRDefault="00EC6216" w:rsidP="00F8372E">
            <w:r w:rsidRPr="00DE1573">
              <w:t>CS</w:t>
            </w:r>
          </w:p>
        </w:tc>
        <w:tc>
          <w:tcPr>
            <w:tcW w:w="5670" w:type="dxa"/>
          </w:tcPr>
          <w:p w14:paraId="2F3D28B7" w14:textId="77777777" w:rsidR="00EC6216" w:rsidRPr="00DE1573" w:rsidRDefault="00EC6216" w:rsidP="00F8372E">
            <w:proofErr w:type="spellStart"/>
            <w:r w:rsidRPr="00DE1573">
              <w:t>Commissaryman</w:t>
            </w:r>
            <w:proofErr w:type="spellEnd"/>
          </w:p>
        </w:tc>
        <w:tc>
          <w:tcPr>
            <w:tcW w:w="2520" w:type="dxa"/>
          </w:tcPr>
          <w:p w14:paraId="584FC88D" w14:textId="77777777" w:rsidR="00EC6216" w:rsidRPr="00DE1573" w:rsidRDefault="00EC6216" w:rsidP="00F8372E">
            <w:r w:rsidRPr="00DE1573">
              <w:t>Minimal</w:t>
            </w:r>
          </w:p>
        </w:tc>
      </w:tr>
      <w:tr w:rsidR="00EC6216" w:rsidRPr="00DE1573" w14:paraId="01BEEEFF" w14:textId="77777777" w:rsidTr="00F8372E">
        <w:tc>
          <w:tcPr>
            <w:tcW w:w="1368" w:type="dxa"/>
          </w:tcPr>
          <w:p w14:paraId="75D03BAC" w14:textId="77777777" w:rsidR="00EC6216" w:rsidRPr="00DE1573" w:rsidRDefault="00EC6216" w:rsidP="00F8372E">
            <w:r w:rsidRPr="00DE1573">
              <w:t>CT</w:t>
            </w:r>
          </w:p>
        </w:tc>
        <w:tc>
          <w:tcPr>
            <w:tcW w:w="5670" w:type="dxa"/>
          </w:tcPr>
          <w:p w14:paraId="508E3397" w14:textId="77777777" w:rsidR="00EC6216" w:rsidRPr="00DE1573" w:rsidRDefault="00EC6216" w:rsidP="00F8372E">
            <w:r w:rsidRPr="00DE1573">
              <w:t>Communication Technician</w:t>
            </w:r>
          </w:p>
        </w:tc>
        <w:tc>
          <w:tcPr>
            <w:tcW w:w="2520" w:type="dxa"/>
          </w:tcPr>
          <w:p w14:paraId="7A5DF64D" w14:textId="77777777" w:rsidR="00EC6216" w:rsidRPr="00DE1573" w:rsidRDefault="00EC6216" w:rsidP="00F8372E">
            <w:r w:rsidRPr="00DE1573">
              <w:t>Minimal</w:t>
            </w:r>
          </w:p>
        </w:tc>
      </w:tr>
      <w:tr w:rsidR="00EC6216" w:rsidRPr="00DE1573" w14:paraId="0F58FD51" w14:textId="77777777" w:rsidTr="00F8372E">
        <w:tc>
          <w:tcPr>
            <w:tcW w:w="1368" w:type="dxa"/>
          </w:tcPr>
          <w:p w14:paraId="14E36C41" w14:textId="77777777" w:rsidR="00EC6216" w:rsidRPr="00DE1573" w:rsidRDefault="00EC6216" w:rsidP="00F8372E">
            <w:r w:rsidRPr="00DE1573">
              <w:t>CTR</w:t>
            </w:r>
          </w:p>
        </w:tc>
        <w:tc>
          <w:tcPr>
            <w:tcW w:w="5670" w:type="dxa"/>
          </w:tcPr>
          <w:p w14:paraId="73BCB541" w14:textId="77777777" w:rsidR="00EC6216" w:rsidRPr="00DE1573" w:rsidRDefault="00EC6216" w:rsidP="00F8372E">
            <w:r w:rsidRPr="00DE1573">
              <w:t>Cryptologic Technician (Collections)</w:t>
            </w:r>
          </w:p>
        </w:tc>
        <w:tc>
          <w:tcPr>
            <w:tcW w:w="2520" w:type="dxa"/>
          </w:tcPr>
          <w:p w14:paraId="298285EF" w14:textId="77777777" w:rsidR="00EC6216" w:rsidRPr="00DE1573" w:rsidRDefault="00EC6216" w:rsidP="00F8372E">
            <w:r w:rsidRPr="00DE1573">
              <w:t>Minimal</w:t>
            </w:r>
          </w:p>
        </w:tc>
      </w:tr>
      <w:tr w:rsidR="00EC6216" w:rsidRPr="00DE1573" w14:paraId="414DAC9B" w14:textId="77777777" w:rsidTr="00F8372E">
        <w:tc>
          <w:tcPr>
            <w:tcW w:w="1368" w:type="dxa"/>
          </w:tcPr>
          <w:p w14:paraId="63FAB795" w14:textId="77777777" w:rsidR="00EC6216" w:rsidRPr="00DE1573" w:rsidRDefault="00EC6216" w:rsidP="00F8372E">
            <w:r w:rsidRPr="00DE1573">
              <w:t>DC</w:t>
            </w:r>
          </w:p>
        </w:tc>
        <w:tc>
          <w:tcPr>
            <w:tcW w:w="5670" w:type="dxa"/>
          </w:tcPr>
          <w:p w14:paraId="2461C0F2" w14:textId="77777777" w:rsidR="00EC6216" w:rsidRPr="00DE1573" w:rsidRDefault="00EC6216" w:rsidP="00F8372E">
            <w:r w:rsidRPr="00DE1573">
              <w:t xml:space="preserve">Damage </w:t>
            </w:r>
            <w:proofErr w:type="spellStart"/>
            <w:r w:rsidRPr="00DE1573">
              <w:t>Controlman</w:t>
            </w:r>
            <w:proofErr w:type="spellEnd"/>
          </w:p>
        </w:tc>
        <w:tc>
          <w:tcPr>
            <w:tcW w:w="2520" w:type="dxa"/>
          </w:tcPr>
          <w:p w14:paraId="5533DA61" w14:textId="77777777" w:rsidR="00EC6216" w:rsidRPr="00DE1573" w:rsidRDefault="00EC6216" w:rsidP="00F8372E">
            <w:r w:rsidRPr="00DE1573">
              <w:t>Minimal</w:t>
            </w:r>
          </w:p>
        </w:tc>
      </w:tr>
      <w:tr w:rsidR="00EC6216" w:rsidRPr="00DE1573" w14:paraId="556E39E4" w14:textId="77777777" w:rsidTr="00F8372E">
        <w:tc>
          <w:tcPr>
            <w:tcW w:w="1368" w:type="dxa"/>
          </w:tcPr>
          <w:p w14:paraId="5BE38954" w14:textId="77777777" w:rsidR="00EC6216" w:rsidRPr="00DE1573" w:rsidRDefault="00EC6216" w:rsidP="00F8372E">
            <w:r w:rsidRPr="00DE1573">
              <w:t>DK</w:t>
            </w:r>
          </w:p>
        </w:tc>
        <w:tc>
          <w:tcPr>
            <w:tcW w:w="5670" w:type="dxa"/>
          </w:tcPr>
          <w:p w14:paraId="43183F3F" w14:textId="77777777" w:rsidR="00EC6216" w:rsidRPr="00DE1573" w:rsidRDefault="00EC6216" w:rsidP="00F8372E">
            <w:r w:rsidRPr="00DE1573">
              <w:t>Disbursing Clerk</w:t>
            </w:r>
          </w:p>
        </w:tc>
        <w:tc>
          <w:tcPr>
            <w:tcW w:w="2520" w:type="dxa"/>
          </w:tcPr>
          <w:p w14:paraId="143F24AA" w14:textId="77777777" w:rsidR="00EC6216" w:rsidRPr="00DE1573" w:rsidRDefault="00EC6216" w:rsidP="00F8372E">
            <w:r w:rsidRPr="00DE1573">
              <w:t>Minimal</w:t>
            </w:r>
          </w:p>
        </w:tc>
      </w:tr>
      <w:tr w:rsidR="00EC6216" w:rsidRPr="00DE1573" w14:paraId="17844E10" w14:textId="77777777" w:rsidTr="00F8372E">
        <w:tc>
          <w:tcPr>
            <w:tcW w:w="1368" w:type="dxa"/>
          </w:tcPr>
          <w:p w14:paraId="00AFB926" w14:textId="77777777" w:rsidR="00EC6216" w:rsidRPr="00DE1573" w:rsidRDefault="00EC6216" w:rsidP="00F8372E">
            <w:r w:rsidRPr="00DE1573">
              <w:t>DP</w:t>
            </w:r>
          </w:p>
        </w:tc>
        <w:tc>
          <w:tcPr>
            <w:tcW w:w="5670" w:type="dxa"/>
          </w:tcPr>
          <w:p w14:paraId="705E87B2" w14:textId="77777777" w:rsidR="00EC6216" w:rsidRPr="00DE1573" w:rsidRDefault="00EC6216" w:rsidP="00F8372E">
            <w:r w:rsidRPr="00DE1573">
              <w:t>Data Processing Technician</w:t>
            </w:r>
          </w:p>
        </w:tc>
        <w:tc>
          <w:tcPr>
            <w:tcW w:w="2520" w:type="dxa"/>
          </w:tcPr>
          <w:p w14:paraId="7588ADE6" w14:textId="77777777" w:rsidR="00EC6216" w:rsidRPr="00DE1573" w:rsidRDefault="00EC6216" w:rsidP="00F8372E">
            <w:r w:rsidRPr="00DE1573">
              <w:t>Minimal</w:t>
            </w:r>
          </w:p>
        </w:tc>
      </w:tr>
      <w:tr w:rsidR="00EC6216" w:rsidRPr="00DE1573" w14:paraId="4DC65200" w14:textId="77777777" w:rsidTr="00F8372E">
        <w:tc>
          <w:tcPr>
            <w:tcW w:w="1368" w:type="dxa"/>
          </w:tcPr>
          <w:p w14:paraId="49B378E1" w14:textId="77777777" w:rsidR="00EC6216" w:rsidRPr="00DE1573" w:rsidRDefault="00EC6216" w:rsidP="00F8372E">
            <w:r w:rsidRPr="00DE1573">
              <w:t>DS</w:t>
            </w:r>
          </w:p>
        </w:tc>
        <w:tc>
          <w:tcPr>
            <w:tcW w:w="5670" w:type="dxa"/>
          </w:tcPr>
          <w:p w14:paraId="05312B01" w14:textId="77777777" w:rsidR="00EC6216" w:rsidRPr="00DE1573" w:rsidRDefault="00EC6216" w:rsidP="00F8372E">
            <w:r w:rsidRPr="00DE1573">
              <w:t>Data System Technician</w:t>
            </w:r>
          </w:p>
        </w:tc>
        <w:tc>
          <w:tcPr>
            <w:tcW w:w="2520" w:type="dxa"/>
          </w:tcPr>
          <w:p w14:paraId="4A4B81FB" w14:textId="77777777" w:rsidR="00EC6216" w:rsidRPr="00DE1573" w:rsidRDefault="00EC6216" w:rsidP="00F8372E">
            <w:r w:rsidRPr="00DE1573">
              <w:t>Minimal</w:t>
            </w:r>
          </w:p>
        </w:tc>
      </w:tr>
      <w:tr w:rsidR="00EC6216" w:rsidRPr="00DE1573" w14:paraId="4BD69AB5" w14:textId="77777777" w:rsidTr="00F8372E">
        <w:tc>
          <w:tcPr>
            <w:tcW w:w="1368" w:type="dxa"/>
          </w:tcPr>
          <w:p w14:paraId="4C449F58" w14:textId="77777777" w:rsidR="00EC6216" w:rsidRPr="00DE1573" w:rsidRDefault="00EC6216" w:rsidP="00F8372E">
            <w:r w:rsidRPr="00DE1573">
              <w:t>DT</w:t>
            </w:r>
          </w:p>
        </w:tc>
        <w:tc>
          <w:tcPr>
            <w:tcW w:w="5670" w:type="dxa"/>
          </w:tcPr>
          <w:p w14:paraId="7FA1C889" w14:textId="77777777" w:rsidR="00EC6216" w:rsidRPr="00DE1573" w:rsidRDefault="00EC6216" w:rsidP="00F8372E">
            <w:r w:rsidRPr="00DE1573">
              <w:t>Dental Technician</w:t>
            </w:r>
          </w:p>
        </w:tc>
        <w:tc>
          <w:tcPr>
            <w:tcW w:w="2520" w:type="dxa"/>
          </w:tcPr>
          <w:p w14:paraId="7C971A3D" w14:textId="77777777" w:rsidR="00EC6216" w:rsidRPr="00DE1573" w:rsidRDefault="00EC6216" w:rsidP="00F8372E">
            <w:r w:rsidRPr="00DE1573">
              <w:t>Minimal</w:t>
            </w:r>
          </w:p>
        </w:tc>
      </w:tr>
      <w:tr w:rsidR="00EC6216" w:rsidRPr="00DE1573" w14:paraId="16E1AE3C" w14:textId="77777777" w:rsidTr="00F8372E">
        <w:tc>
          <w:tcPr>
            <w:tcW w:w="1368" w:type="dxa"/>
          </w:tcPr>
          <w:p w14:paraId="02F9F809" w14:textId="77777777" w:rsidR="00EC6216" w:rsidRPr="00DE1573" w:rsidRDefault="00EC6216" w:rsidP="00F8372E">
            <w:r w:rsidRPr="00DE1573">
              <w:t>EM</w:t>
            </w:r>
          </w:p>
        </w:tc>
        <w:tc>
          <w:tcPr>
            <w:tcW w:w="5670" w:type="dxa"/>
          </w:tcPr>
          <w:p w14:paraId="4AAD226C" w14:textId="77777777" w:rsidR="00EC6216" w:rsidRPr="00DE1573" w:rsidRDefault="00EC6216" w:rsidP="00F8372E">
            <w:r w:rsidRPr="00DE1573">
              <w:t>Electrician’s Mate</w:t>
            </w:r>
          </w:p>
        </w:tc>
        <w:tc>
          <w:tcPr>
            <w:tcW w:w="2520" w:type="dxa"/>
          </w:tcPr>
          <w:p w14:paraId="6F0E6911" w14:textId="77777777" w:rsidR="00EC6216" w:rsidRPr="00DE1573" w:rsidRDefault="00EC6216" w:rsidP="00F8372E">
            <w:r w:rsidRPr="00DE1573">
              <w:t>Probable</w:t>
            </w:r>
          </w:p>
        </w:tc>
      </w:tr>
      <w:tr w:rsidR="00EC6216" w:rsidRPr="00DE1573" w14:paraId="7E7D2097" w14:textId="77777777" w:rsidTr="00F8372E">
        <w:tc>
          <w:tcPr>
            <w:tcW w:w="1368" w:type="dxa"/>
          </w:tcPr>
          <w:p w14:paraId="6AE5ED6A" w14:textId="77777777" w:rsidR="00EC6216" w:rsidRPr="00DE1573" w:rsidRDefault="00EC6216" w:rsidP="00F8372E">
            <w:r w:rsidRPr="00DE1573">
              <w:t>EN</w:t>
            </w:r>
          </w:p>
        </w:tc>
        <w:tc>
          <w:tcPr>
            <w:tcW w:w="5670" w:type="dxa"/>
          </w:tcPr>
          <w:p w14:paraId="11D1EF80" w14:textId="77777777" w:rsidR="00EC6216" w:rsidRPr="00DE1573" w:rsidRDefault="00EC6216" w:rsidP="00F8372E">
            <w:r w:rsidRPr="00DE1573">
              <w:t>Engineman</w:t>
            </w:r>
          </w:p>
        </w:tc>
        <w:tc>
          <w:tcPr>
            <w:tcW w:w="2520" w:type="dxa"/>
          </w:tcPr>
          <w:p w14:paraId="3DDDBBDF" w14:textId="77777777" w:rsidR="00EC6216" w:rsidRPr="00DE1573" w:rsidRDefault="00EC6216" w:rsidP="00F8372E">
            <w:r w:rsidRPr="00DE1573">
              <w:t>Probable</w:t>
            </w:r>
          </w:p>
        </w:tc>
      </w:tr>
      <w:tr w:rsidR="00EC6216" w:rsidRPr="00DE1573" w14:paraId="63768DBB" w14:textId="77777777" w:rsidTr="00F8372E">
        <w:tc>
          <w:tcPr>
            <w:tcW w:w="1368" w:type="dxa"/>
          </w:tcPr>
          <w:p w14:paraId="2158451B" w14:textId="77777777" w:rsidR="00EC6216" w:rsidRPr="00DE1573" w:rsidRDefault="00EC6216" w:rsidP="00F8372E">
            <w:r w:rsidRPr="00DE1573">
              <w:t>EO</w:t>
            </w:r>
          </w:p>
        </w:tc>
        <w:tc>
          <w:tcPr>
            <w:tcW w:w="5670" w:type="dxa"/>
          </w:tcPr>
          <w:p w14:paraId="525FE736" w14:textId="77777777" w:rsidR="00EC6216" w:rsidRPr="00DE1573" w:rsidRDefault="00EC6216" w:rsidP="00F8372E">
            <w:r w:rsidRPr="00DE1573">
              <w:t>Equipment Operator</w:t>
            </w:r>
          </w:p>
        </w:tc>
        <w:tc>
          <w:tcPr>
            <w:tcW w:w="2520" w:type="dxa"/>
          </w:tcPr>
          <w:p w14:paraId="4435EA9E" w14:textId="77777777" w:rsidR="00EC6216" w:rsidRPr="00DE1573" w:rsidRDefault="00EC6216" w:rsidP="00F8372E">
            <w:r w:rsidRPr="00DE1573">
              <w:t>Minimal</w:t>
            </w:r>
          </w:p>
        </w:tc>
      </w:tr>
      <w:tr w:rsidR="00EC6216" w:rsidRPr="00DE1573" w14:paraId="11245EA4" w14:textId="77777777" w:rsidTr="00F8372E">
        <w:tc>
          <w:tcPr>
            <w:tcW w:w="1368" w:type="dxa"/>
          </w:tcPr>
          <w:p w14:paraId="56283312" w14:textId="77777777" w:rsidR="00EC6216" w:rsidRPr="00DE1573" w:rsidRDefault="00EC6216" w:rsidP="00F8372E">
            <w:r w:rsidRPr="00DE1573">
              <w:t>ET</w:t>
            </w:r>
          </w:p>
        </w:tc>
        <w:tc>
          <w:tcPr>
            <w:tcW w:w="5670" w:type="dxa"/>
          </w:tcPr>
          <w:p w14:paraId="5F3C2835" w14:textId="77777777" w:rsidR="00EC6216" w:rsidRPr="00DE1573" w:rsidRDefault="00EC6216" w:rsidP="00F8372E">
            <w:r w:rsidRPr="00DE1573">
              <w:t>Electronics Technician</w:t>
            </w:r>
          </w:p>
        </w:tc>
        <w:tc>
          <w:tcPr>
            <w:tcW w:w="2520" w:type="dxa"/>
          </w:tcPr>
          <w:p w14:paraId="21DF5DF6" w14:textId="77777777" w:rsidR="00EC6216" w:rsidRPr="00DE1573" w:rsidRDefault="00EC6216" w:rsidP="00F8372E">
            <w:r w:rsidRPr="00DE1573">
              <w:t>Probable</w:t>
            </w:r>
          </w:p>
        </w:tc>
      </w:tr>
      <w:tr w:rsidR="00EC6216" w:rsidRPr="00DE1573" w14:paraId="4E5D67A8" w14:textId="77777777" w:rsidTr="00F8372E">
        <w:tc>
          <w:tcPr>
            <w:tcW w:w="1368" w:type="dxa"/>
          </w:tcPr>
          <w:p w14:paraId="3B4F7CDD" w14:textId="77777777" w:rsidR="00EC6216" w:rsidRPr="00DE1573" w:rsidRDefault="00EC6216" w:rsidP="00F8372E">
            <w:r w:rsidRPr="00DE1573">
              <w:t>FC</w:t>
            </w:r>
          </w:p>
        </w:tc>
        <w:tc>
          <w:tcPr>
            <w:tcW w:w="5670" w:type="dxa"/>
          </w:tcPr>
          <w:p w14:paraId="73760878" w14:textId="77777777" w:rsidR="00EC6216" w:rsidRPr="00DE1573" w:rsidRDefault="00EC6216" w:rsidP="00F8372E">
            <w:r w:rsidRPr="00DE1573">
              <w:t xml:space="preserve">Fire </w:t>
            </w:r>
            <w:proofErr w:type="spellStart"/>
            <w:r w:rsidRPr="00DE1573">
              <w:t>Controlman</w:t>
            </w:r>
            <w:proofErr w:type="spellEnd"/>
          </w:p>
        </w:tc>
        <w:tc>
          <w:tcPr>
            <w:tcW w:w="2520" w:type="dxa"/>
          </w:tcPr>
          <w:p w14:paraId="122FC9CD" w14:textId="77777777" w:rsidR="00EC6216" w:rsidRPr="00DE1573" w:rsidRDefault="00EC6216" w:rsidP="00F8372E">
            <w:r w:rsidRPr="00DE1573">
              <w:t>Highly Probable</w:t>
            </w:r>
          </w:p>
        </w:tc>
      </w:tr>
      <w:tr w:rsidR="00EC6216" w:rsidRPr="00DE1573" w14:paraId="5D09D846" w14:textId="77777777" w:rsidTr="00F8372E">
        <w:tc>
          <w:tcPr>
            <w:tcW w:w="1368" w:type="dxa"/>
          </w:tcPr>
          <w:p w14:paraId="705E7BFC" w14:textId="77777777" w:rsidR="00EC6216" w:rsidRPr="00DE1573" w:rsidRDefault="00EC6216" w:rsidP="00F8372E">
            <w:r w:rsidRPr="00DE1573">
              <w:t>FN</w:t>
            </w:r>
          </w:p>
        </w:tc>
        <w:tc>
          <w:tcPr>
            <w:tcW w:w="5670" w:type="dxa"/>
          </w:tcPr>
          <w:p w14:paraId="73C75839" w14:textId="77777777" w:rsidR="00EC6216" w:rsidRPr="00DE1573" w:rsidRDefault="00EC6216" w:rsidP="00F8372E">
            <w:r w:rsidRPr="00DE1573">
              <w:t>Fireman</w:t>
            </w:r>
          </w:p>
        </w:tc>
        <w:tc>
          <w:tcPr>
            <w:tcW w:w="2520" w:type="dxa"/>
          </w:tcPr>
          <w:p w14:paraId="41906F47" w14:textId="77777777" w:rsidR="00EC6216" w:rsidRPr="00DE1573" w:rsidRDefault="00EC6216" w:rsidP="00F8372E">
            <w:r w:rsidRPr="00DE1573">
              <w:t>Highly Probable</w:t>
            </w:r>
          </w:p>
        </w:tc>
      </w:tr>
      <w:tr w:rsidR="00EC6216" w:rsidRPr="00DE1573" w14:paraId="419EA098" w14:textId="77777777" w:rsidTr="00F8372E">
        <w:tc>
          <w:tcPr>
            <w:tcW w:w="1368" w:type="dxa"/>
          </w:tcPr>
          <w:p w14:paraId="5DBADB55" w14:textId="77777777" w:rsidR="00EC6216" w:rsidRPr="00DE1573" w:rsidRDefault="00EC6216" w:rsidP="00F8372E">
            <w:r w:rsidRPr="00DE1573">
              <w:t>FP</w:t>
            </w:r>
          </w:p>
        </w:tc>
        <w:tc>
          <w:tcPr>
            <w:tcW w:w="5670" w:type="dxa"/>
          </w:tcPr>
          <w:p w14:paraId="647D26EA" w14:textId="77777777" w:rsidR="00EC6216" w:rsidRPr="00DE1573" w:rsidRDefault="00EC6216" w:rsidP="00F8372E">
            <w:r w:rsidRPr="00DE1573">
              <w:t>Pipefitter</w:t>
            </w:r>
          </w:p>
        </w:tc>
        <w:tc>
          <w:tcPr>
            <w:tcW w:w="2520" w:type="dxa"/>
          </w:tcPr>
          <w:p w14:paraId="304AD373" w14:textId="77777777" w:rsidR="00EC6216" w:rsidRPr="00DE1573" w:rsidRDefault="00EC6216" w:rsidP="00F8372E">
            <w:r w:rsidRPr="00DE1573">
              <w:t>Highly Probable</w:t>
            </w:r>
          </w:p>
        </w:tc>
      </w:tr>
      <w:tr w:rsidR="00EC6216" w:rsidRPr="00DE1573" w14:paraId="1498198F" w14:textId="77777777" w:rsidTr="00F8372E">
        <w:tc>
          <w:tcPr>
            <w:tcW w:w="1368" w:type="dxa"/>
          </w:tcPr>
          <w:p w14:paraId="7D83BB6F" w14:textId="77777777" w:rsidR="00EC6216" w:rsidRPr="00DE1573" w:rsidRDefault="00EC6216" w:rsidP="00F8372E">
            <w:r w:rsidRPr="00DE1573">
              <w:t>FT</w:t>
            </w:r>
          </w:p>
        </w:tc>
        <w:tc>
          <w:tcPr>
            <w:tcW w:w="5670" w:type="dxa"/>
          </w:tcPr>
          <w:p w14:paraId="41BA97D2" w14:textId="77777777" w:rsidR="00EC6216" w:rsidRPr="00DE1573" w:rsidRDefault="00EC6216" w:rsidP="00F8372E">
            <w:r w:rsidRPr="00DE1573">
              <w:t>Fire Control Technician</w:t>
            </w:r>
          </w:p>
        </w:tc>
        <w:tc>
          <w:tcPr>
            <w:tcW w:w="2520" w:type="dxa"/>
          </w:tcPr>
          <w:p w14:paraId="2E5F2EEE" w14:textId="77777777" w:rsidR="00EC6216" w:rsidRPr="00DE1573" w:rsidRDefault="00EC6216" w:rsidP="00F8372E">
            <w:r w:rsidRPr="00DE1573">
              <w:t>Highly Probable</w:t>
            </w:r>
          </w:p>
        </w:tc>
      </w:tr>
      <w:tr w:rsidR="00EC6216" w:rsidRPr="00DE1573" w14:paraId="07A13E50" w14:textId="77777777" w:rsidTr="00F8372E">
        <w:tc>
          <w:tcPr>
            <w:tcW w:w="1368" w:type="dxa"/>
          </w:tcPr>
          <w:p w14:paraId="2A194629" w14:textId="77777777" w:rsidR="00EC6216" w:rsidRPr="00DE1573" w:rsidRDefault="00EC6216" w:rsidP="00F8372E">
            <w:r w:rsidRPr="00DE1573">
              <w:t>FTG</w:t>
            </w:r>
          </w:p>
        </w:tc>
        <w:tc>
          <w:tcPr>
            <w:tcW w:w="5670" w:type="dxa"/>
          </w:tcPr>
          <w:p w14:paraId="26A56A1D" w14:textId="77777777" w:rsidR="00EC6216" w:rsidRPr="00DE1573" w:rsidRDefault="00EC6216" w:rsidP="00F8372E">
            <w:r w:rsidRPr="00DE1573">
              <w:t>Fire Control Technician (Guns)</w:t>
            </w:r>
          </w:p>
        </w:tc>
        <w:tc>
          <w:tcPr>
            <w:tcW w:w="2520" w:type="dxa"/>
          </w:tcPr>
          <w:p w14:paraId="32E49E7F" w14:textId="77777777" w:rsidR="00EC6216" w:rsidRPr="00DE1573" w:rsidRDefault="00EC6216" w:rsidP="00F8372E">
            <w:r w:rsidRPr="00DE1573">
              <w:t>Highly Probable</w:t>
            </w:r>
          </w:p>
        </w:tc>
      </w:tr>
      <w:tr w:rsidR="00EC6216" w:rsidRPr="00DE1573" w14:paraId="54292133" w14:textId="77777777" w:rsidTr="00F8372E">
        <w:tc>
          <w:tcPr>
            <w:tcW w:w="1368" w:type="dxa"/>
          </w:tcPr>
          <w:p w14:paraId="4FE0442D" w14:textId="77777777" w:rsidR="00EC6216" w:rsidRPr="00DE1573" w:rsidRDefault="00EC6216" w:rsidP="00F8372E">
            <w:r w:rsidRPr="00DE1573">
              <w:t>GM</w:t>
            </w:r>
          </w:p>
        </w:tc>
        <w:tc>
          <w:tcPr>
            <w:tcW w:w="5670" w:type="dxa"/>
          </w:tcPr>
          <w:p w14:paraId="69A44644" w14:textId="77777777" w:rsidR="00EC6216" w:rsidRPr="00DE1573" w:rsidRDefault="00EC6216" w:rsidP="00F8372E">
            <w:r w:rsidRPr="00DE1573">
              <w:t>Gunner’s Mate</w:t>
            </w:r>
          </w:p>
        </w:tc>
        <w:tc>
          <w:tcPr>
            <w:tcW w:w="2520" w:type="dxa"/>
          </w:tcPr>
          <w:p w14:paraId="5E288953" w14:textId="77777777" w:rsidR="00EC6216" w:rsidRPr="00DE1573" w:rsidRDefault="00EC6216" w:rsidP="00F8372E">
            <w:r w:rsidRPr="00DE1573">
              <w:t>Minimal</w:t>
            </w:r>
          </w:p>
        </w:tc>
      </w:tr>
      <w:tr w:rsidR="00EC6216" w:rsidRPr="00DE1573" w14:paraId="544E2CBB" w14:textId="77777777" w:rsidTr="00F8372E">
        <w:tc>
          <w:tcPr>
            <w:tcW w:w="1368" w:type="dxa"/>
          </w:tcPr>
          <w:p w14:paraId="48EB7885" w14:textId="77777777" w:rsidR="00EC6216" w:rsidRPr="00DE1573" w:rsidRDefault="00EC6216" w:rsidP="00F8372E">
            <w:r w:rsidRPr="00DE1573">
              <w:t>GSM</w:t>
            </w:r>
          </w:p>
        </w:tc>
        <w:tc>
          <w:tcPr>
            <w:tcW w:w="5670" w:type="dxa"/>
          </w:tcPr>
          <w:p w14:paraId="0C7B5BBD" w14:textId="77777777" w:rsidR="00EC6216" w:rsidRPr="00DE1573" w:rsidRDefault="00EC6216" w:rsidP="00F8372E">
            <w:r w:rsidRPr="00DE1573">
              <w:t>Gas Turbine System Technician (Mechanical)</w:t>
            </w:r>
          </w:p>
        </w:tc>
        <w:tc>
          <w:tcPr>
            <w:tcW w:w="2520" w:type="dxa"/>
          </w:tcPr>
          <w:p w14:paraId="737B17D5" w14:textId="77777777" w:rsidR="00EC6216" w:rsidRPr="00DE1573" w:rsidRDefault="00EC6216" w:rsidP="00F8372E">
            <w:r w:rsidRPr="00DE1573">
              <w:t>Probable</w:t>
            </w:r>
          </w:p>
        </w:tc>
      </w:tr>
      <w:tr w:rsidR="00EC6216" w:rsidRPr="00DE1573" w14:paraId="18FFA30B" w14:textId="77777777" w:rsidTr="00F8372E">
        <w:tc>
          <w:tcPr>
            <w:tcW w:w="1368" w:type="dxa"/>
          </w:tcPr>
          <w:p w14:paraId="5616E06B" w14:textId="77777777" w:rsidR="00EC6216" w:rsidRPr="00DE1573" w:rsidRDefault="00EC6216" w:rsidP="00F8372E">
            <w:r w:rsidRPr="00DE1573">
              <w:t>HC</w:t>
            </w:r>
          </w:p>
        </w:tc>
        <w:tc>
          <w:tcPr>
            <w:tcW w:w="5670" w:type="dxa"/>
          </w:tcPr>
          <w:p w14:paraId="46AC4495" w14:textId="77777777" w:rsidR="00EC6216" w:rsidRPr="00DE1573" w:rsidRDefault="00EC6216" w:rsidP="00F8372E">
            <w:r w:rsidRPr="00DE1573">
              <w:t>Hospital Corpsman</w:t>
            </w:r>
          </w:p>
        </w:tc>
        <w:tc>
          <w:tcPr>
            <w:tcW w:w="2520" w:type="dxa"/>
          </w:tcPr>
          <w:p w14:paraId="59CFEE8E" w14:textId="77777777" w:rsidR="00EC6216" w:rsidRPr="00DE1573" w:rsidRDefault="00EC6216" w:rsidP="00F8372E">
            <w:r w:rsidRPr="00DE1573">
              <w:t>Minimal</w:t>
            </w:r>
          </w:p>
        </w:tc>
      </w:tr>
      <w:tr w:rsidR="00EC6216" w:rsidRPr="00DE1573" w14:paraId="3E6E2FE1" w14:textId="77777777" w:rsidTr="00F8372E">
        <w:tc>
          <w:tcPr>
            <w:tcW w:w="1368" w:type="dxa"/>
          </w:tcPr>
          <w:p w14:paraId="221E8E3A" w14:textId="77777777" w:rsidR="00EC6216" w:rsidRPr="00DE1573" w:rsidRDefault="00EC6216" w:rsidP="00F8372E">
            <w:r w:rsidRPr="00DE1573">
              <w:t>HN</w:t>
            </w:r>
          </w:p>
        </w:tc>
        <w:tc>
          <w:tcPr>
            <w:tcW w:w="5670" w:type="dxa"/>
          </w:tcPr>
          <w:p w14:paraId="09430783" w14:textId="77777777" w:rsidR="00EC6216" w:rsidRPr="00DE1573" w:rsidRDefault="00EC6216" w:rsidP="00F8372E">
            <w:proofErr w:type="spellStart"/>
            <w:r w:rsidRPr="00DE1573">
              <w:t>Hospitalman</w:t>
            </w:r>
            <w:proofErr w:type="spellEnd"/>
          </w:p>
        </w:tc>
        <w:tc>
          <w:tcPr>
            <w:tcW w:w="2520" w:type="dxa"/>
          </w:tcPr>
          <w:p w14:paraId="6B83E828" w14:textId="77777777" w:rsidR="00EC6216" w:rsidRPr="00DE1573" w:rsidRDefault="00EC6216" w:rsidP="00F8372E">
            <w:r w:rsidRPr="00DE1573">
              <w:t>Minimal</w:t>
            </w:r>
          </w:p>
        </w:tc>
      </w:tr>
      <w:tr w:rsidR="00EC6216" w:rsidRPr="00DE1573" w14:paraId="66B11AA3" w14:textId="77777777" w:rsidTr="00F8372E">
        <w:tc>
          <w:tcPr>
            <w:tcW w:w="1368" w:type="dxa"/>
          </w:tcPr>
          <w:p w14:paraId="242FB36A" w14:textId="77777777" w:rsidR="00EC6216" w:rsidRPr="00DE1573" w:rsidRDefault="00EC6216" w:rsidP="00F8372E">
            <w:r w:rsidRPr="00DE1573">
              <w:t>HT</w:t>
            </w:r>
          </w:p>
        </w:tc>
        <w:tc>
          <w:tcPr>
            <w:tcW w:w="5670" w:type="dxa"/>
          </w:tcPr>
          <w:p w14:paraId="5502B9D4" w14:textId="77777777" w:rsidR="00EC6216" w:rsidRPr="00DE1573" w:rsidRDefault="00EC6216" w:rsidP="00F8372E">
            <w:r w:rsidRPr="00DE1573">
              <w:t>Hull Maintenance Technician</w:t>
            </w:r>
          </w:p>
        </w:tc>
        <w:tc>
          <w:tcPr>
            <w:tcW w:w="2520" w:type="dxa"/>
          </w:tcPr>
          <w:p w14:paraId="649FEF6D" w14:textId="77777777" w:rsidR="00EC6216" w:rsidRPr="00DE1573" w:rsidRDefault="00EC6216" w:rsidP="00F8372E">
            <w:r w:rsidRPr="00DE1573">
              <w:t>Highly Probable</w:t>
            </w:r>
          </w:p>
        </w:tc>
      </w:tr>
      <w:tr w:rsidR="00EC6216" w:rsidRPr="00DE1573" w14:paraId="11C21853" w14:textId="77777777" w:rsidTr="00F8372E">
        <w:tc>
          <w:tcPr>
            <w:tcW w:w="1368" w:type="dxa"/>
          </w:tcPr>
          <w:p w14:paraId="3357CA97" w14:textId="77777777" w:rsidR="00EC6216" w:rsidRPr="00DE1573" w:rsidRDefault="00EC6216" w:rsidP="00F8372E">
            <w:r w:rsidRPr="00DE1573">
              <w:t>IC</w:t>
            </w:r>
          </w:p>
        </w:tc>
        <w:tc>
          <w:tcPr>
            <w:tcW w:w="5670" w:type="dxa"/>
          </w:tcPr>
          <w:p w14:paraId="4A03C17F" w14:textId="77777777" w:rsidR="00EC6216" w:rsidRPr="00DE1573" w:rsidRDefault="00EC6216" w:rsidP="00F8372E">
            <w:r w:rsidRPr="00DE1573">
              <w:t>Interior Communication Technician</w:t>
            </w:r>
          </w:p>
        </w:tc>
        <w:tc>
          <w:tcPr>
            <w:tcW w:w="2520" w:type="dxa"/>
          </w:tcPr>
          <w:p w14:paraId="0D22F949" w14:textId="77777777" w:rsidR="00EC6216" w:rsidRPr="00DE1573" w:rsidRDefault="00EC6216" w:rsidP="00F8372E">
            <w:r w:rsidRPr="00DE1573">
              <w:t>Probable</w:t>
            </w:r>
          </w:p>
        </w:tc>
      </w:tr>
      <w:tr w:rsidR="00EC6216" w:rsidRPr="00DE1573" w14:paraId="0391BD91" w14:textId="77777777" w:rsidTr="00F8372E">
        <w:tc>
          <w:tcPr>
            <w:tcW w:w="1368" w:type="dxa"/>
          </w:tcPr>
          <w:p w14:paraId="5E2BE179" w14:textId="77777777" w:rsidR="00EC6216" w:rsidRPr="00DE1573" w:rsidRDefault="00EC6216" w:rsidP="00F8372E">
            <w:r w:rsidRPr="00DE1573">
              <w:t>IM</w:t>
            </w:r>
          </w:p>
        </w:tc>
        <w:tc>
          <w:tcPr>
            <w:tcW w:w="5670" w:type="dxa"/>
          </w:tcPr>
          <w:p w14:paraId="5475B712" w14:textId="77777777" w:rsidR="00EC6216" w:rsidRPr="00DE1573" w:rsidRDefault="00EC6216" w:rsidP="00F8372E">
            <w:proofErr w:type="spellStart"/>
            <w:r w:rsidRPr="00DE1573">
              <w:t>Instrumentman</w:t>
            </w:r>
            <w:proofErr w:type="spellEnd"/>
          </w:p>
        </w:tc>
        <w:tc>
          <w:tcPr>
            <w:tcW w:w="2520" w:type="dxa"/>
          </w:tcPr>
          <w:p w14:paraId="42FD1EC1" w14:textId="77777777" w:rsidR="00EC6216" w:rsidRPr="00DE1573" w:rsidRDefault="00EC6216" w:rsidP="00F8372E">
            <w:r w:rsidRPr="00DE1573">
              <w:t>Highly Probable</w:t>
            </w:r>
          </w:p>
        </w:tc>
      </w:tr>
      <w:tr w:rsidR="00EC6216" w:rsidRPr="00DE1573" w14:paraId="149690B1" w14:textId="77777777" w:rsidTr="00F8372E">
        <w:tc>
          <w:tcPr>
            <w:tcW w:w="1368" w:type="dxa"/>
          </w:tcPr>
          <w:p w14:paraId="092202ED" w14:textId="77777777" w:rsidR="00EC6216" w:rsidRPr="00DE1573" w:rsidRDefault="00EC6216" w:rsidP="00F8372E">
            <w:r w:rsidRPr="00DE1573">
              <w:t>LI</w:t>
            </w:r>
          </w:p>
        </w:tc>
        <w:tc>
          <w:tcPr>
            <w:tcW w:w="5670" w:type="dxa"/>
          </w:tcPr>
          <w:p w14:paraId="78D6E7C1" w14:textId="77777777" w:rsidR="00EC6216" w:rsidRPr="00DE1573" w:rsidRDefault="00EC6216" w:rsidP="00F8372E">
            <w:r w:rsidRPr="00DE1573">
              <w:t>Lithographer</w:t>
            </w:r>
          </w:p>
        </w:tc>
        <w:tc>
          <w:tcPr>
            <w:tcW w:w="2520" w:type="dxa"/>
          </w:tcPr>
          <w:p w14:paraId="6785D704" w14:textId="77777777" w:rsidR="00EC6216" w:rsidRPr="00DE1573" w:rsidRDefault="00EC6216" w:rsidP="00F8372E">
            <w:r w:rsidRPr="00DE1573">
              <w:t>Minimal</w:t>
            </w:r>
          </w:p>
        </w:tc>
      </w:tr>
      <w:tr w:rsidR="00EC6216" w:rsidRPr="00DE1573" w14:paraId="4D7C729B" w14:textId="77777777" w:rsidTr="00F8372E">
        <w:tc>
          <w:tcPr>
            <w:tcW w:w="1368" w:type="dxa"/>
          </w:tcPr>
          <w:p w14:paraId="6F39A0C7" w14:textId="77777777" w:rsidR="00EC6216" w:rsidRPr="00DE1573" w:rsidRDefault="00EC6216" w:rsidP="00F8372E">
            <w:r w:rsidRPr="00DE1573">
              <w:t>M(ME)</w:t>
            </w:r>
          </w:p>
        </w:tc>
        <w:tc>
          <w:tcPr>
            <w:tcW w:w="5670" w:type="dxa"/>
          </w:tcPr>
          <w:p w14:paraId="10D9E144" w14:textId="77777777" w:rsidR="00EC6216" w:rsidRPr="00DE1573" w:rsidRDefault="00EC6216" w:rsidP="00F8372E">
            <w:r w:rsidRPr="00DE1573">
              <w:t>Metalsmith</w:t>
            </w:r>
          </w:p>
        </w:tc>
        <w:tc>
          <w:tcPr>
            <w:tcW w:w="2520" w:type="dxa"/>
          </w:tcPr>
          <w:p w14:paraId="11A3A1A2" w14:textId="77777777" w:rsidR="00EC6216" w:rsidRPr="00DE1573" w:rsidRDefault="00EC6216" w:rsidP="00F8372E">
            <w:r w:rsidRPr="00DE1573">
              <w:t>Minimal</w:t>
            </w:r>
          </w:p>
        </w:tc>
      </w:tr>
      <w:tr w:rsidR="00EC6216" w:rsidRPr="00DE1573" w14:paraId="49DF8607" w14:textId="77777777" w:rsidTr="00F8372E">
        <w:tc>
          <w:tcPr>
            <w:tcW w:w="1368" w:type="dxa"/>
          </w:tcPr>
          <w:p w14:paraId="3A458B56" w14:textId="77777777" w:rsidR="00EC6216" w:rsidRPr="00DE1573" w:rsidRDefault="00EC6216" w:rsidP="00F8372E">
            <w:r w:rsidRPr="00DE1573">
              <w:t>MA</w:t>
            </w:r>
          </w:p>
        </w:tc>
        <w:tc>
          <w:tcPr>
            <w:tcW w:w="5670" w:type="dxa"/>
          </w:tcPr>
          <w:p w14:paraId="18FF32B8" w14:textId="77777777" w:rsidR="00EC6216" w:rsidRPr="00DE1573" w:rsidRDefault="00EC6216" w:rsidP="00F8372E">
            <w:r w:rsidRPr="00DE1573">
              <w:t>Master-At-Arms</w:t>
            </w:r>
          </w:p>
        </w:tc>
        <w:tc>
          <w:tcPr>
            <w:tcW w:w="2520" w:type="dxa"/>
          </w:tcPr>
          <w:p w14:paraId="11497378" w14:textId="77777777" w:rsidR="00EC6216" w:rsidRPr="00DE1573" w:rsidRDefault="00EC6216" w:rsidP="00F8372E">
            <w:r w:rsidRPr="00DE1573">
              <w:t>Minimal</w:t>
            </w:r>
          </w:p>
        </w:tc>
      </w:tr>
      <w:tr w:rsidR="00EC6216" w:rsidRPr="00DE1573" w14:paraId="575822FE" w14:textId="77777777" w:rsidTr="00F8372E">
        <w:tc>
          <w:tcPr>
            <w:tcW w:w="1368" w:type="dxa"/>
          </w:tcPr>
          <w:p w14:paraId="1F25A6AB" w14:textId="77777777" w:rsidR="00EC6216" w:rsidRPr="00DE1573" w:rsidRDefault="00EC6216" w:rsidP="00F8372E">
            <w:r w:rsidRPr="00DE1573">
              <w:t>MLC</w:t>
            </w:r>
          </w:p>
        </w:tc>
        <w:tc>
          <w:tcPr>
            <w:tcW w:w="5670" w:type="dxa"/>
          </w:tcPr>
          <w:p w14:paraId="0277A5B9" w14:textId="77777777" w:rsidR="00EC6216" w:rsidRPr="00DE1573" w:rsidRDefault="00EC6216" w:rsidP="00F8372E">
            <w:r w:rsidRPr="00DE1573">
              <w:t>Molder</w:t>
            </w:r>
          </w:p>
        </w:tc>
        <w:tc>
          <w:tcPr>
            <w:tcW w:w="2520" w:type="dxa"/>
          </w:tcPr>
          <w:p w14:paraId="431D5524" w14:textId="77777777" w:rsidR="00EC6216" w:rsidRPr="00DE1573" w:rsidRDefault="00EC6216" w:rsidP="00F8372E">
            <w:r w:rsidRPr="00DE1573">
              <w:t>Probable</w:t>
            </w:r>
          </w:p>
        </w:tc>
      </w:tr>
      <w:tr w:rsidR="00EC6216" w:rsidRPr="00DE1573" w14:paraId="634776CD" w14:textId="77777777" w:rsidTr="00F8372E">
        <w:tc>
          <w:tcPr>
            <w:tcW w:w="1368" w:type="dxa"/>
          </w:tcPr>
          <w:p w14:paraId="6B433DBE" w14:textId="77777777" w:rsidR="00EC6216" w:rsidRPr="00DE1573" w:rsidRDefault="00EC6216" w:rsidP="00F8372E">
            <w:r w:rsidRPr="00DE1573">
              <w:t>MM</w:t>
            </w:r>
          </w:p>
        </w:tc>
        <w:tc>
          <w:tcPr>
            <w:tcW w:w="5670" w:type="dxa"/>
          </w:tcPr>
          <w:p w14:paraId="0DA48934" w14:textId="77777777" w:rsidR="00EC6216" w:rsidRPr="00DE1573" w:rsidRDefault="00EC6216" w:rsidP="00F8372E">
            <w:r w:rsidRPr="00DE1573">
              <w:t>Machinist Mate</w:t>
            </w:r>
          </w:p>
        </w:tc>
        <w:tc>
          <w:tcPr>
            <w:tcW w:w="2520" w:type="dxa"/>
          </w:tcPr>
          <w:p w14:paraId="7C304802" w14:textId="77777777" w:rsidR="00EC6216" w:rsidRPr="00DE1573" w:rsidRDefault="00EC6216" w:rsidP="00F8372E">
            <w:r w:rsidRPr="00DE1573">
              <w:t>Probable</w:t>
            </w:r>
          </w:p>
        </w:tc>
      </w:tr>
      <w:tr w:rsidR="00EC6216" w:rsidRPr="00DE1573" w14:paraId="782B8F39" w14:textId="77777777" w:rsidTr="00F8372E">
        <w:tc>
          <w:tcPr>
            <w:tcW w:w="1368" w:type="dxa"/>
          </w:tcPr>
          <w:p w14:paraId="47A57CE6" w14:textId="77777777" w:rsidR="00EC6216" w:rsidRPr="00DE1573" w:rsidRDefault="00EC6216" w:rsidP="00F8372E">
            <w:r w:rsidRPr="00DE1573">
              <w:t>MN</w:t>
            </w:r>
          </w:p>
        </w:tc>
        <w:tc>
          <w:tcPr>
            <w:tcW w:w="5670" w:type="dxa"/>
          </w:tcPr>
          <w:p w14:paraId="32B56902" w14:textId="77777777" w:rsidR="00EC6216" w:rsidRPr="00DE1573" w:rsidRDefault="00EC6216" w:rsidP="00F8372E">
            <w:proofErr w:type="spellStart"/>
            <w:r w:rsidRPr="00DE1573">
              <w:t>Mineman</w:t>
            </w:r>
            <w:proofErr w:type="spellEnd"/>
          </w:p>
        </w:tc>
        <w:tc>
          <w:tcPr>
            <w:tcW w:w="2520" w:type="dxa"/>
          </w:tcPr>
          <w:p w14:paraId="748A4951" w14:textId="77777777" w:rsidR="00EC6216" w:rsidRPr="00DE1573" w:rsidRDefault="00EC6216" w:rsidP="00F8372E">
            <w:r w:rsidRPr="00DE1573">
              <w:t>Minimal</w:t>
            </w:r>
          </w:p>
        </w:tc>
      </w:tr>
      <w:tr w:rsidR="00EC6216" w:rsidRPr="00DE1573" w14:paraId="70BAF8F0" w14:textId="77777777" w:rsidTr="00F8372E">
        <w:tc>
          <w:tcPr>
            <w:tcW w:w="1368" w:type="dxa"/>
          </w:tcPr>
          <w:p w14:paraId="3A228601" w14:textId="77777777" w:rsidR="00EC6216" w:rsidRPr="00DE1573" w:rsidRDefault="00EC6216" w:rsidP="00F8372E">
            <w:r w:rsidRPr="00DE1573">
              <w:t>MOMM</w:t>
            </w:r>
          </w:p>
        </w:tc>
        <w:tc>
          <w:tcPr>
            <w:tcW w:w="5670" w:type="dxa"/>
          </w:tcPr>
          <w:p w14:paraId="597B976C" w14:textId="77777777" w:rsidR="00EC6216" w:rsidRPr="00DE1573" w:rsidRDefault="00EC6216" w:rsidP="00F8372E">
            <w:r w:rsidRPr="00DE1573">
              <w:t>Motor Machinist Mate</w:t>
            </w:r>
          </w:p>
        </w:tc>
        <w:tc>
          <w:tcPr>
            <w:tcW w:w="2520" w:type="dxa"/>
          </w:tcPr>
          <w:p w14:paraId="756CF9E0" w14:textId="77777777" w:rsidR="00EC6216" w:rsidRPr="00DE1573" w:rsidRDefault="00EC6216" w:rsidP="00F8372E">
            <w:r w:rsidRPr="00DE1573">
              <w:t>Probable</w:t>
            </w:r>
          </w:p>
        </w:tc>
      </w:tr>
      <w:tr w:rsidR="00EC6216" w:rsidRPr="00DE1573" w14:paraId="2063D677" w14:textId="77777777" w:rsidTr="00F8372E">
        <w:tc>
          <w:tcPr>
            <w:tcW w:w="1368" w:type="dxa"/>
          </w:tcPr>
          <w:p w14:paraId="4FED050D" w14:textId="77777777" w:rsidR="00EC6216" w:rsidRPr="00DE1573" w:rsidRDefault="00EC6216" w:rsidP="00F8372E">
            <w:r w:rsidRPr="00DE1573">
              <w:t>MR</w:t>
            </w:r>
          </w:p>
        </w:tc>
        <w:tc>
          <w:tcPr>
            <w:tcW w:w="5670" w:type="dxa"/>
          </w:tcPr>
          <w:p w14:paraId="52E792EC" w14:textId="77777777" w:rsidR="00EC6216" w:rsidRPr="00DE1573" w:rsidRDefault="00EC6216" w:rsidP="00F8372E">
            <w:r w:rsidRPr="00DE1573">
              <w:t>Machinery Repairman</w:t>
            </w:r>
          </w:p>
        </w:tc>
        <w:tc>
          <w:tcPr>
            <w:tcW w:w="2520" w:type="dxa"/>
          </w:tcPr>
          <w:p w14:paraId="18FC415A" w14:textId="77777777" w:rsidR="00EC6216" w:rsidRPr="00DE1573" w:rsidRDefault="00EC6216" w:rsidP="00F8372E">
            <w:r w:rsidRPr="00DE1573">
              <w:t>Minimal</w:t>
            </w:r>
          </w:p>
        </w:tc>
      </w:tr>
      <w:tr w:rsidR="00EC6216" w:rsidRPr="00DE1573" w14:paraId="4AC3D560" w14:textId="77777777" w:rsidTr="00F8372E">
        <w:tc>
          <w:tcPr>
            <w:tcW w:w="1368" w:type="dxa"/>
          </w:tcPr>
          <w:p w14:paraId="3127529F" w14:textId="77777777" w:rsidR="00EC6216" w:rsidRPr="00DE1573" w:rsidRDefault="00EC6216" w:rsidP="00F8372E">
            <w:r w:rsidRPr="00DE1573">
              <w:lastRenderedPageBreak/>
              <w:t>MS</w:t>
            </w:r>
          </w:p>
        </w:tc>
        <w:tc>
          <w:tcPr>
            <w:tcW w:w="5670" w:type="dxa"/>
          </w:tcPr>
          <w:p w14:paraId="4C996ADD" w14:textId="77777777" w:rsidR="00EC6216" w:rsidRPr="00DE1573" w:rsidRDefault="00EC6216" w:rsidP="00F8372E">
            <w:r w:rsidRPr="00DE1573">
              <w:t>Mess Management Specialist</w:t>
            </w:r>
          </w:p>
        </w:tc>
        <w:tc>
          <w:tcPr>
            <w:tcW w:w="2520" w:type="dxa"/>
          </w:tcPr>
          <w:p w14:paraId="34A5769B" w14:textId="77777777" w:rsidR="00EC6216" w:rsidRPr="00DE1573" w:rsidRDefault="00EC6216" w:rsidP="00F8372E">
            <w:r w:rsidRPr="00DE1573">
              <w:t>Minimal</w:t>
            </w:r>
          </w:p>
        </w:tc>
      </w:tr>
      <w:tr w:rsidR="00EC6216" w:rsidRPr="00DE1573" w14:paraId="77373C06" w14:textId="77777777" w:rsidTr="00F8372E">
        <w:tc>
          <w:tcPr>
            <w:tcW w:w="1368" w:type="dxa"/>
          </w:tcPr>
          <w:p w14:paraId="55DD9F23" w14:textId="77777777" w:rsidR="00EC6216" w:rsidRPr="00DE1573" w:rsidRDefault="00EC6216" w:rsidP="00F8372E">
            <w:r w:rsidRPr="00DE1573">
              <w:t>MT</w:t>
            </w:r>
          </w:p>
        </w:tc>
        <w:tc>
          <w:tcPr>
            <w:tcW w:w="5670" w:type="dxa"/>
          </w:tcPr>
          <w:p w14:paraId="322EE4B2" w14:textId="77777777" w:rsidR="00EC6216" w:rsidRPr="00DE1573" w:rsidRDefault="00EC6216" w:rsidP="00F8372E">
            <w:r w:rsidRPr="00DE1573">
              <w:t>Missile Technician</w:t>
            </w:r>
          </w:p>
        </w:tc>
        <w:tc>
          <w:tcPr>
            <w:tcW w:w="2520" w:type="dxa"/>
          </w:tcPr>
          <w:p w14:paraId="4C08587B" w14:textId="77777777" w:rsidR="00EC6216" w:rsidRPr="00DE1573" w:rsidRDefault="00EC6216" w:rsidP="00F8372E">
            <w:r w:rsidRPr="00DE1573">
              <w:t>Probable</w:t>
            </w:r>
          </w:p>
        </w:tc>
      </w:tr>
      <w:tr w:rsidR="00EC6216" w:rsidRPr="00DE1573" w14:paraId="05736BF6" w14:textId="77777777" w:rsidTr="00F8372E">
        <w:tc>
          <w:tcPr>
            <w:tcW w:w="1368" w:type="dxa"/>
          </w:tcPr>
          <w:p w14:paraId="1D06AE1D" w14:textId="77777777" w:rsidR="00EC6216" w:rsidRPr="00DE1573" w:rsidRDefault="00EC6216" w:rsidP="00F8372E">
            <w:r w:rsidRPr="00DE1573">
              <w:t>MU</w:t>
            </w:r>
          </w:p>
        </w:tc>
        <w:tc>
          <w:tcPr>
            <w:tcW w:w="5670" w:type="dxa"/>
          </w:tcPr>
          <w:p w14:paraId="245252A6" w14:textId="77777777" w:rsidR="00EC6216" w:rsidRPr="00DE1573" w:rsidRDefault="00EC6216" w:rsidP="00F8372E">
            <w:r w:rsidRPr="00DE1573">
              <w:t>Musician</w:t>
            </w:r>
          </w:p>
        </w:tc>
        <w:tc>
          <w:tcPr>
            <w:tcW w:w="2520" w:type="dxa"/>
          </w:tcPr>
          <w:p w14:paraId="0539620E" w14:textId="77777777" w:rsidR="00EC6216" w:rsidRPr="00DE1573" w:rsidRDefault="00EC6216" w:rsidP="00F8372E">
            <w:r w:rsidRPr="00DE1573">
              <w:t>Minimal</w:t>
            </w:r>
          </w:p>
        </w:tc>
      </w:tr>
      <w:tr w:rsidR="00EC6216" w:rsidRPr="00DE1573" w14:paraId="790B8CD3" w14:textId="77777777" w:rsidTr="00F8372E">
        <w:tc>
          <w:tcPr>
            <w:tcW w:w="1368" w:type="dxa"/>
          </w:tcPr>
          <w:p w14:paraId="38016AAC" w14:textId="77777777" w:rsidR="00EC6216" w:rsidRPr="00DE1573" w:rsidRDefault="00EC6216" w:rsidP="00F8372E">
            <w:r w:rsidRPr="00DE1573">
              <w:t>NC</w:t>
            </w:r>
          </w:p>
        </w:tc>
        <w:tc>
          <w:tcPr>
            <w:tcW w:w="5670" w:type="dxa"/>
          </w:tcPr>
          <w:p w14:paraId="29662C11" w14:textId="77777777" w:rsidR="00EC6216" w:rsidRPr="00DE1573" w:rsidRDefault="00EC6216" w:rsidP="00F8372E">
            <w:r w:rsidRPr="00DE1573">
              <w:t>Navy Counselor</w:t>
            </w:r>
          </w:p>
        </w:tc>
        <w:tc>
          <w:tcPr>
            <w:tcW w:w="2520" w:type="dxa"/>
          </w:tcPr>
          <w:p w14:paraId="4FB54B03" w14:textId="77777777" w:rsidR="00EC6216" w:rsidRPr="00DE1573" w:rsidRDefault="00EC6216" w:rsidP="00F8372E">
            <w:r w:rsidRPr="00DE1573">
              <w:t>Minimal</w:t>
            </w:r>
          </w:p>
        </w:tc>
      </w:tr>
      <w:tr w:rsidR="00EC6216" w:rsidRPr="00DE1573" w14:paraId="2C58666F" w14:textId="77777777" w:rsidTr="00F8372E">
        <w:tc>
          <w:tcPr>
            <w:tcW w:w="1368" w:type="dxa"/>
          </w:tcPr>
          <w:p w14:paraId="4B267995" w14:textId="77777777" w:rsidR="00EC6216" w:rsidRPr="00DE1573" w:rsidRDefault="00EC6216" w:rsidP="00F8372E">
            <w:r w:rsidRPr="00DE1573">
              <w:t>OM</w:t>
            </w:r>
          </w:p>
        </w:tc>
        <w:tc>
          <w:tcPr>
            <w:tcW w:w="5670" w:type="dxa"/>
          </w:tcPr>
          <w:p w14:paraId="1E13176E" w14:textId="77777777" w:rsidR="00EC6216" w:rsidRPr="00DE1573" w:rsidRDefault="00EC6216" w:rsidP="00F8372E">
            <w:proofErr w:type="spellStart"/>
            <w:r w:rsidRPr="00DE1573">
              <w:t>Opticalman</w:t>
            </w:r>
            <w:proofErr w:type="spellEnd"/>
          </w:p>
        </w:tc>
        <w:tc>
          <w:tcPr>
            <w:tcW w:w="2520" w:type="dxa"/>
          </w:tcPr>
          <w:p w14:paraId="5D76A9AE" w14:textId="77777777" w:rsidR="00EC6216" w:rsidRPr="00DE1573" w:rsidRDefault="00EC6216" w:rsidP="00F8372E">
            <w:r w:rsidRPr="00DE1573">
              <w:t>Minimal</w:t>
            </w:r>
          </w:p>
        </w:tc>
      </w:tr>
      <w:tr w:rsidR="00EC6216" w:rsidRPr="00DE1573" w14:paraId="68775AAD" w14:textId="77777777" w:rsidTr="00F8372E">
        <w:tc>
          <w:tcPr>
            <w:tcW w:w="1368" w:type="dxa"/>
          </w:tcPr>
          <w:p w14:paraId="565E6B38" w14:textId="77777777" w:rsidR="00EC6216" w:rsidRPr="00DE1573" w:rsidRDefault="00EC6216" w:rsidP="00F8372E">
            <w:r w:rsidRPr="00DE1573">
              <w:t>OSPC</w:t>
            </w:r>
          </w:p>
        </w:tc>
        <w:tc>
          <w:tcPr>
            <w:tcW w:w="5670" w:type="dxa"/>
          </w:tcPr>
          <w:p w14:paraId="7F441456" w14:textId="77777777" w:rsidR="00EC6216" w:rsidRPr="00DE1573" w:rsidRDefault="00EC6216" w:rsidP="00F8372E">
            <w:r w:rsidRPr="00DE1573">
              <w:t>Operations Specialist</w:t>
            </w:r>
          </w:p>
        </w:tc>
        <w:tc>
          <w:tcPr>
            <w:tcW w:w="2520" w:type="dxa"/>
          </w:tcPr>
          <w:p w14:paraId="71CD3501" w14:textId="77777777" w:rsidR="00EC6216" w:rsidRPr="00DE1573" w:rsidRDefault="00EC6216" w:rsidP="00F8372E">
            <w:r w:rsidRPr="00DE1573">
              <w:t>Minimal</w:t>
            </w:r>
          </w:p>
        </w:tc>
      </w:tr>
      <w:tr w:rsidR="00EC6216" w:rsidRPr="00DE1573" w14:paraId="5656CFD0" w14:textId="77777777" w:rsidTr="00F8372E">
        <w:tc>
          <w:tcPr>
            <w:tcW w:w="1368" w:type="dxa"/>
          </w:tcPr>
          <w:p w14:paraId="45DE8DAB" w14:textId="77777777" w:rsidR="00EC6216" w:rsidRPr="00DE1573" w:rsidRDefault="00EC6216" w:rsidP="00F8372E">
            <w:r w:rsidRPr="00DE1573">
              <w:t>PC</w:t>
            </w:r>
          </w:p>
        </w:tc>
        <w:tc>
          <w:tcPr>
            <w:tcW w:w="5670" w:type="dxa"/>
          </w:tcPr>
          <w:p w14:paraId="05EDA567" w14:textId="77777777" w:rsidR="00EC6216" w:rsidRPr="00DE1573" w:rsidRDefault="00EC6216" w:rsidP="00F8372E">
            <w:r w:rsidRPr="00DE1573">
              <w:t>Postal Clerk</w:t>
            </w:r>
          </w:p>
        </w:tc>
        <w:tc>
          <w:tcPr>
            <w:tcW w:w="2520" w:type="dxa"/>
          </w:tcPr>
          <w:p w14:paraId="08EF1073" w14:textId="77777777" w:rsidR="00EC6216" w:rsidRPr="00DE1573" w:rsidRDefault="00EC6216" w:rsidP="00F8372E">
            <w:r w:rsidRPr="00DE1573">
              <w:t>Minimal</w:t>
            </w:r>
          </w:p>
        </w:tc>
      </w:tr>
      <w:tr w:rsidR="00EC6216" w:rsidRPr="00DE1573" w14:paraId="5D938650" w14:textId="77777777" w:rsidTr="00F8372E">
        <w:tc>
          <w:tcPr>
            <w:tcW w:w="1368" w:type="dxa"/>
          </w:tcPr>
          <w:p w14:paraId="5B6F35B4" w14:textId="77777777" w:rsidR="00EC6216" w:rsidRPr="00DE1573" w:rsidRDefault="00EC6216" w:rsidP="00F8372E">
            <w:r w:rsidRPr="00DE1573">
              <w:t>PH</w:t>
            </w:r>
          </w:p>
        </w:tc>
        <w:tc>
          <w:tcPr>
            <w:tcW w:w="5670" w:type="dxa"/>
          </w:tcPr>
          <w:p w14:paraId="546C1DBF" w14:textId="77777777" w:rsidR="00EC6216" w:rsidRPr="00DE1573" w:rsidRDefault="00EC6216" w:rsidP="00F8372E">
            <w:r w:rsidRPr="00DE1573">
              <w:t>Photographer’s Mate</w:t>
            </w:r>
          </w:p>
        </w:tc>
        <w:tc>
          <w:tcPr>
            <w:tcW w:w="2520" w:type="dxa"/>
          </w:tcPr>
          <w:p w14:paraId="52BDFCAE" w14:textId="77777777" w:rsidR="00EC6216" w:rsidRPr="00DE1573" w:rsidRDefault="00EC6216" w:rsidP="00F8372E">
            <w:r w:rsidRPr="00DE1573">
              <w:t>Minimal</w:t>
            </w:r>
          </w:p>
        </w:tc>
      </w:tr>
      <w:tr w:rsidR="00EC6216" w:rsidRPr="00DE1573" w14:paraId="50C345B3" w14:textId="77777777" w:rsidTr="00F8372E">
        <w:tc>
          <w:tcPr>
            <w:tcW w:w="1368" w:type="dxa"/>
          </w:tcPr>
          <w:p w14:paraId="7F948280" w14:textId="77777777" w:rsidR="00EC6216" w:rsidRPr="00DE1573" w:rsidRDefault="00EC6216" w:rsidP="00F8372E">
            <w:r w:rsidRPr="00DE1573">
              <w:t>PHM</w:t>
            </w:r>
          </w:p>
        </w:tc>
        <w:tc>
          <w:tcPr>
            <w:tcW w:w="5670" w:type="dxa"/>
          </w:tcPr>
          <w:p w14:paraId="7F5F67BA" w14:textId="77777777" w:rsidR="00EC6216" w:rsidRPr="00DE1573" w:rsidRDefault="00EC6216" w:rsidP="00F8372E">
            <w:r w:rsidRPr="00DE1573">
              <w:t>Pharmacist</w:t>
            </w:r>
          </w:p>
        </w:tc>
        <w:tc>
          <w:tcPr>
            <w:tcW w:w="2520" w:type="dxa"/>
          </w:tcPr>
          <w:p w14:paraId="0A1B34BF" w14:textId="77777777" w:rsidR="00EC6216" w:rsidRPr="00DE1573" w:rsidRDefault="00EC6216" w:rsidP="00F8372E">
            <w:r w:rsidRPr="00DE1573">
              <w:t>Minimal</w:t>
            </w:r>
          </w:p>
        </w:tc>
      </w:tr>
      <w:tr w:rsidR="00EC6216" w:rsidRPr="00DE1573" w14:paraId="3D50770E" w14:textId="77777777" w:rsidTr="00F8372E">
        <w:tc>
          <w:tcPr>
            <w:tcW w:w="1368" w:type="dxa"/>
          </w:tcPr>
          <w:p w14:paraId="6E55B459" w14:textId="77777777" w:rsidR="00EC6216" w:rsidRPr="00DE1573" w:rsidRDefault="00EC6216" w:rsidP="00F8372E">
            <w:r w:rsidRPr="00DE1573">
              <w:t>PN</w:t>
            </w:r>
          </w:p>
        </w:tc>
        <w:tc>
          <w:tcPr>
            <w:tcW w:w="5670" w:type="dxa"/>
          </w:tcPr>
          <w:p w14:paraId="68F4AFBE" w14:textId="77777777" w:rsidR="00EC6216" w:rsidRPr="00DE1573" w:rsidRDefault="00EC6216" w:rsidP="00F8372E">
            <w:proofErr w:type="spellStart"/>
            <w:r w:rsidRPr="00DE1573">
              <w:t>Personnelman</w:t>
            </w:r>
            <w:proofErr w:type="spellEnd"/>
          </w:p>
        </w:tc>
        <w:tc>
          <w:tcPr>
            <w:tcW w:w="2520" w:type="dxa"/>
          </w:tcPr>
          <w:p w14:paraId="0E06FE25" w14:textId="77777777" w:rsidR="00EC6216" w:rsidRPr="00DE1573" w:rsidRDefault="00EC6216" w:rsidP="00F8372E">
            <w:r w:rsidRPr="00DE1573">
              <w:t>Minimal</w:t>
            </w:r>
          </w:p>
        </w:tc>
      </w:tr>
      <w:tr w:rsidR="00EC6216" w:rsidRPr="00DE1573" w14:paraId="652FBC5D" w14:textId="77777777" w:rsidTr="00F8372E">
        <w:tc>
          <w:tcPr>
            <w:tcW w:w="1368" w:type="dxa"/>
          </w:tcPr>
          <w:p w14:paraId="52F434F8" w14:textId="77777777" w:rsidR="00EC6216" w:rsidRPr="00DE1573" w:rsidRDefault="00EC6216" w:rsidP="00F8372E">
            <w:proofErr w:type="spellStart"/>
            <w:r w:rsidRPr="00DE1573">
              <w:t>Prtr</w:t>
            </w:r>
            <w:proofErr w:type="spellEnd"/>
          </w:p>
        </w:tc>
        <w:tc>
          <w:tcPr>
            <w:tcW w:w="5670" w:type="dxa"/>
          </w:tcPr>
          <w:p w14:paraId="7DA0E29C" w14:textId="77777777" w:rsidR="00EC6216" w:rsidRPr="00DE1573" w:rsidRDefault="00EC6216" w:rsidP="00F8372E">
            <w:r w:rsidRPr="00DE1573">
              <w:t>Printer</w:t>
            </w:r>
          </w:p>
        </w:tc>
        <w:tc>
          <w:tcPr>
            <w:tcW w:w="2520" w:type="dxa"/>
          </w:tcPr>
          <w:p w14:paraId="202276AE" w14:textId="77777777" w:rsidR="00EC6216" w:rsidRPr="00DE1573" w:rsidRDefault="00EC6216" w:rsidP="00F8372E">
            <w:r w:rsidRPr="00DE1573">
              <w:t>Minimal</w:t>
            </w:r>
          </w:p>
        </w:tc>
      </w:tr>
      <w:tr w:rsidR="00EC6216" w:rsidRPr="00DE1573" w14:paraId="04094ADD" w14:textId="77777777" w:rsidTr="00F8372E">
        <w:tc>
          <w:tcPr>
            <w:tcW w:w="1368" w:type="dxa"/>
          </w:tcPr>
          <w:p w14:paraId="735A1CBD" w14:textId="77777777" w:rsidR="00EC6216" w:rsidRPr="00DE1573" w:rsidRDefault="00EC6216" w:rsidP="00F8372E">
            <w:r w:rsidRPr="00DE1573">
              <w:t>PT</w:t>
            </w:r>
          </w:p>
        </w:tc>
        <w:tc>
          <w:tcPr>
            <w:tcW w:w="5670" w:type="dxa"/>
          </w:tcPr>
          <w:p w14:paraId="630D8082" w14:textId="77777777" w:rsidR="00EC6216" w:rsidRPr="00DE1573" w:rsidRDefault="00EC6216" w:rsidP="00F8372E">
            <w:r w:rsidRPr="00DE1573">
              <w:t xml:space="preserve">Photographic </w:t>
            </w:r>
            <w:proofErr w:type="spellStart"/>
            <w:r w:rsidRPr="00DE1573">
              <w:t>Intelligenceman</w:t>
            </w:r>
            <w:proofErr w:type="spellEnd"/>
          </w:p>
        </w:tc>
        <w:tc>
          <w:tcPr>
            <w:tcW w:w="2520" w:type="dxa"/>
          </w:tcPr>
          <w:p w14:paraId="1807F331" w14:textId="77777777" w:rsidR="00EC6216" w:rsidRPr="00DE1573" w:rsidRDefault="00EC6216" w:rsidP="00F8372E">
            <w:r w:rsidRPr="00DE1573">
              <w:t>Minimal</w:t>
            </w:r>
          </w:p>
        </w:tc>
      </w:tr>
      <w:tr w:rsidR="00EC6216" w:rsidRPr="00DE1573" w14:paraId="3037C222" w14:textId="77777777" w:rsidTr="00F8372E">
        <w:tc>
          <w:tcPr>
            <w:tcW w:w="1368" w:type="dxa"/>
          </w:tcPr>
          <w:p w14:paraId="7389AC44" w14:textId="77777777" w:rsidR="00EC6216" w:rsidRPr="00DE1573" w:rsidRDefault="00EC6216" w:rsidP="00F8372E">
            <w:r w:rsidRPr="00DE1573">
              <w:t>PTR</w:t>
            </w:r>
          </w:p>
        </w:tc>
        <w:tc>
          <w:tcPr>
            <w:tcW w:w="5670" w:type="dxa"/>
          </w:tcPr>
          <w:p w14:paraId="03A29E73" w14:textId="77777777" w:rsidR="00EC6216" w:rsidRPr="00DE1573" w:rsidRDefault="00EC6216" w:rsidP="00F8372E">
            <w:r w:rsidRPr="00DE1573">
              <w:t>Painter</w:t>
            </w:r>
          </w:p>
        </w:tc>
        <w:tc>
          <w:tcPr>
            <w:tcW w:w="2520" w:type="dxa"/>
          </w:tcPr>
          <w:p w14:paraId="10A54AEB" w14:textId="77777777" w:rsidR="00EC6216" w:rsidRPr="00DE1573" w:rsidRDefault="00EC6216" w:rsidP="00F8372E">
            <w:r w:rsidRPr="00DE1573">
              <w:t>Probable</w:t>
            </w:r>
          </w:p>
        </w:tc>
      </w:tr>
      <w:tr w:rsidR="00EC6216" w:rsidRPr="00DE1573" w14:paraId="1D158D18" w14:textId="77777777" w:rsidTr="00F8372E">
        <w:tc>
          <w:tcPr>
            <w:tcW w:w="1368" w:type="dxa"/>
          </w:tcPr>
          <w:p w14:paraId="661F64FF" w14:textId="77777777" w:rsidR="00EC6216" w:rsidRPr="00DE1573" w:rsidRDefault="00EC6216" w:rsidP="00F8372E">
            <w:r w:rsidRPr="00DE1573">
              <w:t>QM</w:t>
            </w:r>
          </w:p>
        </w:tc>
        <w:tc>
          <w:tcPr>
            <w:tcW w:w="5670" w:type="dxa"/>
          </w:tcPr>
          <w:p w14:paraId="5D7271E3" w14:textId="77777777" w:rsidR="00EC6216" w:rsidRPr="00DE1573" w:rsidRDefault="00EC6216" w:rsidP="00F8372E">
            <w:r w:rsidRPr="00DE1573">
              <w:t>Quartermaster</w:t>
            </w:r>
          </w:p>
        </w:tc>
        <w:tc>
          <w:tcPr>
            <w:tcW w:w="2520" w:type="dxa"/>
          </w:tcPr>
          <w:p w14:paraId="0A87F6D9" w14:textId="77777777" w:rsidR="00EC6216" w:rsidRPr="00DE1573" w:rsidRDefault="00EC6216" w:rsidP="00F8372E">
            <w:r w:rsidRPr="00DE1573">
              <w:t>Minimal</w:t>
            </w:r>
          </w:p>
        </w:tc>
      </w:tr>
      <w:tr w:rsidR="00EC6216" w:rsidRPr="00DE1573" w14:paraId="388653CF" w14:textId="77777777" w:rsidTr="00F8372E">
        <w:tc>
          <w:tcPr>
            <w:tcW w:w="1368" w:type="dxa"/>
          </w:tcPr>
          <w:p w14:paraId="5ED29647" w14:textId="77777777" w:rsidR="00EC6216" w:rsidRPr="00DE1573" w:rsidRDefault="00EC6216" w:rsidP="00F8372E">
            <w:r w:rsidRPr="00DE1573">
              <w:t>RD</w:t>
            </w:r>
          </w:p>
        </w:tc>
        <w:tc>
          <w:tcPr>
            <w:tcW w:w="5670" w:type="dxa"/>
          </w:tcPr>
          <w:p w14:paraId="4FDC0359" w14:textId="77777777" w:rsidR="00EC6216" w:rsidRPr="00DE1573" w:rsidRDefault="00EC6216" w:rsidP="00F8372E">
            <w:proofErr w:type="spellStart"/>
            <w:r w:rsidRPr="00DE1573">
              <w:t>Radarman</w:t>
            </w:r>
            <w:proofErr w:type="spellEnd"/>
          </w:p>
        </w:tc>
        <w:tc>
          <w:tcPr>
            <w:tcW w:w="2520" w:type="dxa"/>
          </w:tcPr>
          <w:p w14:paraId="46795A34" w14:textId="77777777" w:rsidR="00EC6216" w:rsidRPr="00DE1573" w:rsidRDefault="00EC6216" w:rsidP="00F8372E">
            <w:r w:rsidRPr="00DE1573">
              <w:t>Minimal</w:t>
            </w:r>
          </w:p>
        </w:tc>
      </w:tr>
      <w:tr w:rsidR="00EC6216" w:rsidRPr="00DE1573" w14:paraId="0D458B0E" w14:textId="77777777" w:rsidTr="00F8372E">
        <w:tc>
          <w:tcPr>
            <w:tcW w:w="1368" w:type="dxa"/>
          </w:tcPr>
          <w:p w14:paraId="1449FAA7" w14:textId="77777777" w:rsidR="00EC6216" w:rsidRPr="00DE1573" w:rsidRDefault="00EC6216" w:rsidP="00F8372E">
            <w:r w:rsidRPr="00DE1573">
              <w:t>RM</w:t>
            </w:r>
          </w:p>
        </w:tc>
        <w:tc>
          <w:tcPr>
            <w:tcW w:w="5670" w:type="dxa"/>
          </w:tcPr>
          <w:p w14:paraId="752192F6" w14:textId="77777777" w:rsidR="00EC6216" w:rsidRPr="00DE1573" w:rsidRDefault="00EC6216" w:rsidP="00F8372E">
            <w:r w:rsidRPr="00DE1573">
              <w:t>Radioman</w:t>
            </w:r>
          </w:p>
        </w:tc>
        <w:tc>
          <w:tcPr>
            <w:tcW w:w="2520" w:type="dxa"/>
          </w:tcPr>
          <w:p w14:paraId="240FCD59" w14:textId="77777777" w:rsidR="00EC6216" w:rsidRPr="00DE1573" w:rsidRDefault="00EC6216" w:rsidP="00F8372E">
            <w:r w:rsidRPr="00DE1573">
              <w:t>Minimal</w:t>
            </w:r>
          </w:p>
        </w:tc>
      </w:tr>
      <w:tr w:rsidR="00EC6216" w:rsidRPr="00DE1573" w14:paraId="7031ED48" w14:textId="77777777" w:rsidTr="00F8372E">
        <w:tc>
          <w:tcPr>
            <w:tcW w:w="1368" w:type="dxa"/>
          </w:tcPr>
          <w:p w14:paraId="3FF442A5" w14:textId="77777777" w:rsidR="00EC6216" w:rsidRPr="00DE1573" w:rsidRDefault="00EC6216" w:rsidP="00F8372E">
            <w:r w:rsidRPr="00DE1573">
              <w:t>RN</w:t>
            </w:r>
          </w:p>
        </w:tc>
        <w:tc>
          <w:tcPr>
            <w:tcW w:w="5670" w:type="dxa"/>
          </w:tcPr>
          <w:p w14:paraId="18AD9460" w14:textId="77777777" w:rsidR="00EC6216" w:rsidRPr="00DE1573" w:rsidRDefault="00EC6216" w:rsidP="00F8372E">
            <w:proofErr w:type="spellStart"/>
            <w:r w:rsidRPr="00DE1573">
              <w:t>Radarman</w:t>
            </w:r>
            <w:proofErr w:type="spellEnd"/>
          </w:p>
        </w:tc>
        <w:tc>
          <w:tcPr>
            <w:tcW w:w="2520" w:type="dxa"/>
          </w:tcPr>
          <w:p w14:paraId="5621F7F2" w14:textId="77777777" w:rsidR="00EC6216" w:rsidRPr="00DE1573" w:rsidRDefault="00EC6216" w:rsidP="00F8372E">
            <w:r w:rsidRPr="00DE1573">
              <w:t>Minimal</w:t>
            </w:r>
          </w:p>
        </w:tc>
      </w:tr>
      <w:tr w:rsidR="00EC6216" w:rsidRPr="00DE1573" w14:paraId="70026E5E" w14:textId="77777777" w:rsidTr="00F8372E">
        <w:tc>
          <w:tcPr>
            <w:tcW w:w="1368" w:type="dxa"/>
          </w:tcPr>
          <w:p w14:paraId="4668D25A" w14:textId="77777777" w:rsidR="00EC6216" w:rsidRPr="00DE1573" w:rsidRDefault="00EC6216" w:rsidP="00F8372E">
            <w:r w:rsidRPr="00DE1573">
              <w:t>SA</w:t>
            </w:r>
          </w:p>
        </w:tc>
        <w:tc>
          <w:tcPr>
            <w:tcW w:w="5670" w:type="dxa"/>
          </w:tcPr>
          <w:p w14:paraId="3E5A8F73" w14:textId="77777777" w:rsidR="00EC6216" w:rsidRPr="00DE1573" w:rsidRDefault="00EC6216" w:rsidP="00F8372E">
            <w:r w:rsidRPr="00DE1573">
              <w:t>Seaman Apprentice</w:t>
            </w:r>
          </w:p>
        </w:tc>
        <w:tc>
          <w:tcPr>
            <w:tcW w:w="2520" w:type="dxa"/>
          </w:tcPr>
          <w:p w14:paraId="333E16EE" w14:textId="77777777" w:rsidR="00EC6216" w:rsidRPr="00DE1573" w:rsidRDefault="00EC6216" w:rsidP="00F8372E">
            <w:r w:rsidRPr="00DE1573">
              <w:t>Minimal</w:t>
            </w:r>
          </w:p>
        </w:tc>
      </w:tr>
      <w:tr w:rsidR="00EC6216" w:rsidRPr="00DE1573" w14:paraId="59CDE268" w14:textId="77777777" w:rsidTr="00F8372E">
        <w:tc>
          <w:tcPr>
            <w:tcW w:w="1368" w:type="dxa"/>
          </w:tcPr>
          <w:p w14:paraId="2850F80C" w14:textId="77777777" w:rsidR="00EC6216" w:rsidRPr="00DE1573" w:rsidRDefault="00EC6216" w:rsidP="00F8372E">
            <w:r w:rsidRPr="00DE1573">
              <w:t>SC</w:t>
            </w:r>
          </w:p>
        </w:tc>
        <w:tc>
          <w:tcPr>
            <w:tcW w:w="5670" w:type="dxa"/>
          </w:tcPr>
          <w:p w14:paraId="4548AD6A" w14:textId="77777777" w:rsidR="00EC6216" w:rsidRPr="00DE1573" w:rsidRDefault="00EC6216" w:rsidP="00F8372E">
            <w:r w:rsidRPr="00DE1573">
              <w:t>Ship’s Cook</w:t>
            </w:r>
          </w:p>
        </w:tc>
        <w:tc>
          <w:tcPr>
            <w:tcW w:w="2520" w:type="dxa"/>
          </w:tcPr>
          <w:p w14:paraId="1031992C" w14:textId="77777777" w:rsidR="00EC6216" w:rsidRPr="00DE1573" w:rsidRDefault="00EC6216" w:rsidP="00F8372E">
            <w:r w:rsidRPr="00DE1573">
              <w:t>Minimal</w:t>
            </w:r>
          </w:p>
        </w:tc>
      </w:tr>
      <w:tr w:rsidR="00EC6216" w:rsidRPr="00DE1573" w14:paraId="4CCDE8A1" w14:textId="77777777" w:rsidTr="00F8372E">
        <w:tc>
          <w:tcPr>
            <w:tcW w:w="1368" w:type="dxa"/>
          </w:tcPr>
          <w:p w14:paraId="4A739D2D" w14:textId="77777777" w:rsidR="00EC6216" w:rsidRPr="00DE1573" w:rsidRDefault="00EC6216" w:rsidP="00F8372E">
            <w:r w:rsidRPr="00DE1573">
              <w:t>SD</w:t>
            </w:r>
          </w:p>
        </w:tc>
        <w:tc>
          <w:tcPr>
            <w:tcW w:w="5670" w:type="dxa"/>
          </w:tcPr>
          <w:p w14:paraId="5061A8AE" w14:textId="77777777" w:rsidR="00EC6216" w:rsidRPr="00DE1573" w:rsidRDefault="00EC6216" w:rsidP="00F8372E">
            <w:r w:rsidRPr="00DE1573">
              <w:t>Stewart</w:t>
            </w:r>
          </w:p>
        </w:tc>
        <w:tc>
          <w:tcPr>
            <w:tcW w:w="2520" w:type="dxa"/>
          </w:tcPr>
          <w:p w14:paraId="4D90F32D" w14:textId="77777777" w:rsidR="00EC6216" w:rsidRPr="00DE1573" w:rsidRDefault="00EC6216" w:rsidP="00F8372E">
            <w:r w:rsidRPr="00DE1573">
              <w:t>Minimal</w:t>
            </w:r>
          </w:p>
        </w:tc>
      </w:tr>
      <w:tr w:rsidR="00EC6216" w:rsidRPr="00DE1573" w14:paraId="6A5DD560" w14:textId="77777777" w:rsidTr="00F8372E">
        <w:tc>
          <w:tcPr>
            <w:tcW w:w="1368" w:type="dxa"/>
          </w:tcPr>
          <w:p w14:paraId="126235D1" w14:textId="77777777" w:rsidR="00EC6216" w:rsidRPr="00DE1573" w:rsidRDefault="00EC6216" w:rsidP="00F8372E">
            <w:r w:rsidRPr="00DE1573">
              <w:t>SF</w:t>
            </w:r>
          </w:p>
        </w:tc>
        <w:tc>
          <w:tcPr>
            <w:tcW w:w="5670" w:type="dxa"/>
          </w:tcPr>
          <w:p w14:paraId="5CB757C9" w14:textId="77777777" w:rsidR="00EC6216" w:rsidRPr="00DE1573" w:rsidRDefault="00EC6216" w:rsidP="00F8372E">
            <w:proofErr w:type="spellStart"/>
            <w:r w:rsidRPr="00DE1573">
              <w:t>Shipfitter</w:t>
            </w:r>
            <w:proofErr w:type="spellEnd"/>
          </w:p>
        </w:tc>
        <w:tc>
          <w:tcPr>
            <w:tcW w:w="2520" w:type="dxa"/>
          </w:tcPr>
          <w:p w14:paraId="00AF9117" w14:textId="77777777" w:rsidR="00EC6216" w:rsidRPr="00DE1573" w:rsidRDefault="00EC6216" w:rsidP="00F8372E">
            <w:r w:rsidRPr="00DE1573">
              <w:t>Minimal</w:t>
            </w:r>
          </w:p>
        </w:tc>
      </w:tr>
      <w:tr w:rsidR="00EC6216" w:rsidRPr="00DE1573" w14:paraId="3D530569" w14:textId="77777777" w:rsidTr="00F8372E">
        <w:tc>
          <w:tcPr>
            <w:tcW w:w="1368" w:type="dxa"/>
          </w:tcPr>
          <w:p w14:paraId="2CCFC2A8" w14:textId="77777777" w:rsidR="00EC6216" w:rsidRPr="00DE1573" w:rsidRDefault="00EC6216" w:rsidP="00F8372E">
            <w:r w:rsidRPr="00DE1573">
              <w:t>SFM</w:t>
            </w:r>
          </w:p>
        </w:tc>
        <w:tc>
          <w:tcPr>
            <w:tcW w:w="5670" w:type="dxa"/>
          </w:tcPr>
          <w:p w14:paraId="396B72DC" w14:textId="77777777" w:rsidR="00EC6216" w:rsidRPr="00DE1573" w:rsidRDefault="00EC6216" w:rsidP="00F8372E">
            <w:proofErr w:type="spellStart"/>
            <w:r w:rsidRPr="00DE1573">
              <w:t>Shipfitter</w:t>
            </w:r>
            <w:proofErr w:type="spellEnd"/>
            <w:r w:rsidRPr="00DE1573">
              <w:t xml:space="preserve"> (Metal Smith)</w:t>
            </w:r>
          </w:p>
        </w:tc>
        <w:tc>
          <w:tcPr>
            <w:tcW w:w="2520" w:type="dxa"/>
          </w:tcPr>
          <w:p w14:paraId="6A2234DE" w14:textId="77777777" w:rsidR="00EC6216" w:rsidRPr="00DE1573" w:rsidRDefault="00EC6216" w:rsidP="00F8372E">
            <w:r w:rsidRPr="00DE1573">
              <w:t>Minimal</w:t>
            </w:r>
          </w:p>
        </w:tc>
      </w:tr>
      <w:tr w:rsidR="00EC6216" w:rsidRPr="00DE1573" w14:paraId="5FBA7123" w14:textId="77777777" w:rsidTr="00F8372E">
        <w:tc>
          <w:tcPr>
            <w:tcW w:w="1368" w:type="dxa"/>
          </w:tcPr>
          <w:p w14:paraId="3503620A" w14:textId="77777777" w:rsidR="00EC6216" w:rsidRPr="00DE1573" w:rsidRDefault="00EC6216" w:rsidP="00F8372E">
            <w:r w:rsidRPr="00DE1573">
              <w:t>SFP</w:t>
            </w:r>
          </w:p>
        </w:tc>
        <w:tc>
          <w:tcPr>
            <w:tcW w:w="5670" w:type="dxa"/>
          </w:tcPr>
          <w:p w14:paraId="5DD4EBC1" w14:textId="77777777" w:rsidR="00EC6216" w:rsidRPr="00DE1573" w:rsidRDefault="00EC6216" w:rsidP="00F8372E">
            <w:proofErr w:type="spellStart"/>
            <w:r w:rsidRPr="00DE1573">
              <w:t>Shipfitter</w:t>
            </w:r>
            <w:proofErr w:type="spellEnd"/>
            <w:r w:rsidRPr="00DE1573">
              <w:t xml:space="preserve"> (Pipefitter)</w:t>
            </w:r>
          </w:p>
        </w:tc>
        <w:tc>
          <w:tcPr>
            <w:tcW w:w="2520" w:type="dxa"/>
          </w:tcPr>
          <w:p w14:paraId="4C6527F3" w14:textId="77777777" w:rsidR="00EC6216" w:rsidRPr="00DE1573" w:rsidRDefault="00EC6216" w:rsidP="00F8372E">
            <w:r w:rsidRPr="00DE1573">
              <w:t>Minimal</w:t>
            </w:r>
          </w:p>
        </w:tc>
      </w:tr>
      <w:tr w:rsidR="00EC6216" w:rsidRPr="00DE1573" w14:paraId="3FF4CF27" w14:textId="77777777" w:rsidTr="00F8372E">
        <w:tc>
          <w:tcPr>
            <w:tcW w:w="1368" w:type="dxa"/>
          </w:tcPr>
          <w:p w14:paraId="0E934015" w14:textId="77777777" w:rsidR="00EC6216" w:rsidRPr="00DE1573" w:rsidRDefault="00EC6216" w:rsidP="00F8372E">
            <w:r w:rsidRPr="00DE1573">
              <w:t>SH</w:t>
            </w:r>
          </w:p>
        </w:tc>
        <w:tc>
          <w:tcPr>
            <w:tcW w:w="5670" w:type="dxa"/>
          </w:tcPr>
          <w:p w14:paraId="420E1C7A" w14:textId="77777777" w:rsidR="00EC6216" w:rsidRPr="00DE1573" w:rsidRDefault="00EC6216" w:rsidP="00F8372E">
            <w:r w:rsidRPr="00DE1573">
              <w:t>Ship’s Serviceman</w:t>
            </w:r>
          </w:p>
        </w:tc>
        <w:tc>
          <w:tcPr>
            <w:tcW w:w="2520" w:type="dxa"/>
          </w:tcPr>
          <w:p w14:paraId="32674CA9" w14:textId="77777777" w:rsidR="00EC6216" w:rsidRPr="00DE1573" w:rsidRDefault="00EC6216" w:rsidP="00F8372E">
            <w:r w:rsidRPr="00DE1573">
              <w:t>Minimal</w:t>
            </w:r>
          </w:p>
        </w:tc>
      </w:tr>
      <w:tr w:rsidR="00EC6216" w:rsidRPr="00DE1573" w14:paraId="454632D5" w14:textId="77777777" w:rsidTr="00F8372E">
        <w:tc>
          <w:tcPr>
            <w:tcW w:w="1368" w:type="dxa"/>
          </w:tcPr>
          <w:p w14:paraId="2DBBEA41" w14:textId="77777777" w:rsidR="00EC6216" w:rsidRPr="00DE1573" w:rsidRDefault="00EC6216" w:rsidP="00F8372E">
            <w:r w:rsidRPr="00DE1573">
              <w:t>SK</w:t>
            </w:r>
          </w:p>
        </w:tc>
        <w:tc>
          <w:tcPr>
            <w:tcW w:w="5670" w:type="dxa"/>
          </w:tcPr>
          <w:p w14:paraId="1D168659" w14:textId="77777777" w:rsidR="00EC6216" w:rsidRPr="00DE1573" w:rsidRDefault="00EC6216" w:rsidP="00F8372E">
            <w:r w:rsidRPr="00DE1573">
              <w:t>Storekeeper</w:t>
            </w:r>
          </w:p>
        </w:tc>
        <w:tc>
          <w:tcPr>
            <w:tcW w:w="2520" w:type="dxa"/>
          </w:tcPr>
          <w:p w14:paraId="042CC9CB" w14:textId="77777777" w:rsidR="00EC6216" w:rsidRPr="00DE1573" w:rsidRDefault="00EC6216" w:rsidP="00F8372E">
            <w:r w:rsidRPr="00DE1573">
              <w:t>Minimal</w:t>
            </w:r>
          </w:p>
        </w:tc>
      </w:tr>
      <w:tr w:rsidR="00EC6216" w:rsidRPr="00DE1573" w14:paraId="6F4EDD2F" w14:textId="77777777" w:rsidTr="00F8372E">
        <w:tc>
          <w:tcPr>
            <w:tcW w:w="1368" w:type="dxa"/>
          </w:tcPr>
          <w:p w14:paraId="3118F729" w14:textId="77777777" w:rsidR="00EC6216" w:rsidRPr="00DE1573" w:rsidRDefault="00EC6216" w:rsidP="00F8372E">
            <w:r w:rsidRPr="00DE1573">
              <w:t>SM</w:t>
            </w:r>
          </w:p>
        </w:tc>
        <w:tc>
          <w:tcPr>
            <w:tcW w:w="5670" w:type="dxa"/>
          </w:tcPr>
          <w:p w14:paraId="25CEBB4F" w14:textId="77777777" w:rsidR="00EC6216" w:rsidRPr="00DE1573" w:rsidRDefault="00EC6216" w:rsidP="00F8372E">
            <w:r w:rsidRPr="00DE1573">
              <w:t>Signalman</w:t>
            </w:r>
          </w:p>
        </w:tc>
        <w:tc>
          <w:tcPr>
            <w:tcW w:w="2520" w:type="dxa"/>
          </w:tcPr>
          <w:p w14:paraId="06F49042" w14:textId="77777777" w:rsidR="00EC6216" w:rsidRPr="00DE1573" w:rsidRDefault="00EC6216" w:rsidP="00F8372E">
            <w:r w:rsidRPr="00DE1573">
              <w:t>Minimal</w:t>
            </w:r>
          </w:p>
        </w:tc>
      </w:tr>
      <w:tr w:rsidR="00EC6216" w:rsidRPr="00DE1573" w14:paraId="299218BE" w14:textId="77777777" w:rsidTr="00F8372E">
        <w:tc>
          <w:tcPr>
            <w:tcW w:w="1368" w:type="dxa"/>
          </w:tcPr>
          <w:p w14:paraId="3F885088" w14:textId="77777777" w:rsidR="00EC6216" w:rsidRPr="00DE1573" w:rsidRDefault="00EC6216" w:rsidP="00F8372E">
            <w:r w:rsidRPr="00DE1573">
              <w:t>SN</w:t>
            </w:r>
          </w:p>
        </w:tc>
        <w:tc>
          <w:tcPr>
            <w:tcW w:w="5670" w:type="dxa"/>
          </w:tcPr>
          <w:p w14:paraId="6B864001" w14:textId="77777777" w:rsidR="00EC6216" w:rsidRPr="00DE1573" w:rsidRDefault="00EC6216" w:rsidP="00F8372E">
            <w:r w:rsidRPr="00DE1573">
              <w:t>Seaman</w:t>
            </w:r>
          </w:p>
        </w:tc>
        <w:tc>
          <w:tcPr>
            <w:tcW w:w="2520" w:type="dxa"/>
          </w:tcPr>
          <w:p w14:paraId="185254F6" w14:textId="77777777" w:rsidR="00EC6216" w:rsidRPr="00DE1573" w:rsidRDefault="00EC6216" w:rsidP="00F8372E">
            <w:r w:rsidRPr="00DE1573">
              <w:t>Minimal</w:t>
            </w:r>
          </w:p>
        </w:tc>
      </w:tr>
      <w:tr w:rsidR="00EC6216" w:rsidRPr="00DE1573" w14:paraId="76A5FA3A" w14:textId="77777777" w:rsidTr="00F8372E">
        <w:tc>
          <w:tcPr>
            <w:tcW w:w="1368" w:type="dxa"/>
          </w:tcPr>
          <w:p w14:paraId="64CBED6A" w14:textId="77777777" w:rsidR="00EC6216" w:rsidRPr="00DE1573" w:rsidRDefault="00EC6216" w:rsidP="00F8372E">
            <w:r w:rsidRPr="00DE1573">
              <w:t>SO</w:t>
            </w:r>
          </w:p>
        </w:tc>
        <w:tc>
          <w:tcPr>
            <w:tcW w:w="5670" w:type="dxa"/>
          </w:tcPr>
          <w:p w14:paraId="7E5FE4C7" w14:textId="77777777" w:rsidR="00EC6216" w:rsidRPr="00DE1573" w:rsidRDefault="00EC6216" w:rsidP="00F8372E">
            <w:proofErr w:type="spellStart"/>
            <w:r w:rsidRPr="00DE1573">
              <w:t>Sonarman</w:t>
            </w:r>
            <w:proofErr w:type="spellEnd"/>
          </w:p>
        </w:tc>
        <w:tc>
          <w:tcPr>
            <w:tcW w:w="2520" w:type="dxa"/>
          </w:tcPr>
          <w:p w14:paraId="3FD8AE5D" w14:textId="77777777" w:rsidR="00EC6216" w:rsidRPr="00DE1573" w:rsidRDefault="00EC6216" w:rsidP="00F8372E">
            <w:r w:rsidRPr="00DE1573">
              <w:t>Highly Probable</w:t>
            </w:r>
          </w:p>
        </w:tc>
      </w:tr>
      <w:tr w:rsidR="00EC6216" w:rsidRPr="00DE1573" w14:paraId="2E76CDC2" w14:textId="77777777" w:rsidTr="00F8372E">
        <w:tc>
          <w:tcPr>
            <w:tcW w:w="1368" w:type="dxa"/>
          </w:tcPr>
          <w:p w14:paraId="587D781B" w14:textId="77777777" w:rsidR="00EC6216" w:rsidRPr="00DE1573" w:rsidRDefault="00EC6216" w:rsidP="00F8372E">
            <w:proofErr w:type="spellStart"/>
            <w:r w:rsidRPr="00DE1573">
              <w:t>SoM</w:t>
            </w:r>
            <w:proofErr w:type="spellEnd"/>
          </w:p>
        </w:tc>
        <w:tc>
          <w:tcPr>
            <w:tcW w:w="5670" w:type="dxa"/>
          </w:tcPr>
          <w:p w14:paraId="6075995F" w14:textId="77777777" w:rsidR="00EC6216" w:rsidRPr="00DE1573" w:rsidRDefault="00EC6216" w:rsidP="00F8372E">
            <w:r w:rsidRPr="00DE1573">
              <w:t>Soundman</w:t>
            </w:r>
          </w:p>
        </w:tc>
        <w:tc>
          <w:tcPr>
            <w:tcW w:w="2520" w:type="dxa"/>
          </w:tcPr>
          <w:p w14:paraId="1A89AB21" w14:textId="77777777" w:rsidR="00EC6216" w:rsidRPr="00DE1573" w:rsidRDefault="00EC6216" w:rsidP="00F8372E">
            <w:r w:rsidRPr="00DE1573">
              <w:t>Highly Probable</w:t>
            </w:r>
          </w:p>
        </w:tc>
      </w:tr>
      <w:tr w:rsidR="00EC6216" w:rsidRPr="00DE1573" w14:paraId="009EE69C" w14:textId="77777777" w:rsidTr="00F8372E">
        <w:tc>
          <w:tcPr>
            <w:tcW w:w="1368" w:type="dxa"/>
          </w:tcPr>
          <w:p w14:paraId="1EC04ADE" w14:textId="77777777" w:rsidR="00EC6216" w:rsidRPr="00DE1573" w:rsidRDefault="00EC6216" w:rsidP="00F8372E">
            <w:r w:rsidRPr="00DE1573">
              <w:t>ST</w:t>
            </w:r>
          </w:p>
        </w:tc>
        <w:tc>
          <w:tcPr>
            <w:tcW w:w="5670" w:type="dxa"/>
          </w:tcPr>
          <w:p w14:paraId="5204F3C0" w14:textId="77777777" w:rsidR="00EC6216" w:rsidRPr="00DE1573" w:rsidRDefault="00EC6216" w:rsidP="00F8372E">
            <w:r w:rsidRPr="00DE1573">
              <w:t>Sonar Technician</w:t>
            </w:r>
          </w:p>
        </w:tc>
        <w:tc>
          <w:tcPr>
            <w:tcW w:w="2520" w:type="dxa"/>
          </w:tcPr>
          <w:p w14:paraId="2307E312" w14:textId="77777777" w:rsidR="00EC6216" w:rsidRPr="00DE1573" w:rsidRDefault="00EC6216" w:rsidP="00F8372E">
            <w:r w:rsidRPr="00DE1573">
              <w:t>Highly Probable</w:t>
            </w:r>
          </w:p>
        </w:tc>
      </w:tr>
      <w:tr w:rsidR="00EC6216" w:rsidRPr="00DE1573" w14:paraId="6196D668" w14:textId="77777777" w:rsidTr="00F8372E">
        <w:tc>
          <w:tcPr>
            <w:tcW w:w="1368" w:type="dxa"/>
          </w:tcPr>
          <w:p w14:paraId="6B01A392" w14:textId="77777777" w:rsidR="00EC6216" w:rsidRPr="00DE1573" w:rsidRDefault="00EC6216" w:rsidP="00F8372E">
            <w:r w:rsidRPr="00DE1573">
              <w:t>STG/SOG</w:t>
            </w:r>
          </w:p>
        </w:tc>
        <w:tc>
          <w:tcPr>
            <w:tcW w:w="5670" w:type="dxa"/>
          </w:tcPr>
          <w:p w14:paraId="38ECFB05" w14:textId="77777777" w:rsidR="00EC6216" w:rsidRPr="00DE1573" w:rsidRDefault="00EC6216" w:rsidP="00F8372E">
            <w:r w:rsidRPr="00DE1573">
              <w:t xml:space="preserve">Sonar Technician (Surface) </w:t>
            </w:r>
          </w:p>
        </w:tc>
        <w:tc>
          <w:tcPr>
            <w:tcW w:w="2520" w:type="dxa"/>
          </w:tcPr>
          <w:p w14:paraId="7666D218" w14:textId="77777777" w:rsidR="00EC6216" w:rsidRPr="00DE1573" w:rsidRDefault="00EC6216" w:rsidP="00F8372E">
            <w:r w:rsidRPr="00DE1573">
              <w:t>Highly Probable</w:t>
            </w:r>
          </w:p>
        </w:tc>
      </w:tr>
      <w:tr w:rsidR="00EC6216" w:rsidRPr="00DE1573" w14:paraId="226406C0" w14:textId="77777777" w:rsidTr="00F8372E">
        <w:tc>
          <w:tcPr>
            <w:tcW w:w="1368" w:type="dxa"/>
          </w:tcPr>
          <w:p w14:paraId="72AC3F00" w14:textId="77777777" w:rsidR="00EC6216" w:rsidRPr="00DE1573" w:rsidRDefault="00EC6216" w:rsidP="00F8372E">
            <w:r w:rsidRPr="00DE1573">
              <w:t>STS</w:t>
            </w:r>
          </w:p>
        </w:tc>
        <w:tc>
          <w:tcPr>
            <w:tcW w:w="5670" w:type="dxa"/>
          </w:tcPr>
          <w:p w14:paraId="54F9E06E" w14:textId="77777777" w:rsidR="00EC6216" w:rsidRPr="00DE1573" w:rsidRDefault="00EC6216" w:rsidP="00F8372E">
            <w:r w:rsidRPr="00DE1573">
              <w:t>Sonar Technician (Submarine)</w:t>
            </w:r>
          </w:p>
        </w:tc>
        <w:tc>
          <w:tcPr>
            <w:tcW w:w="2520" w:type="dxa"/>
          </w:tcPr>
          <w:p w14:paraId="1123B85A" w14:textId="77777777" w:rsidR="00EC6216" w:rsidRPr="00DE1573" w:rsidRDefault="00EC6216" w:rsidP="00F8372E">
            <w:r w:rsidRPr="00DE1573">
              <w:t>Highly Probable</w:t>
            </w:r>
          </w:p>
        </w:tc>
      </w:tr>
      <w:tr w:rsidR="00EC6216" w:rsidRPr="00DE1573" w14:paraId="30D8B2AF" w14:textId="77777777" w:rsidTr="00F8372E">
        <w:tc>
          <w:tcPr>
            <w:tcW w:w="1368" w:type="dxa"/>
          </w:tcPr>
          <w:p w14:paraId="7263B41C" w14:textId="77777777" w:rsidR="00EC6216" w:rsidRPr="00DE1573" w:rsidRDefault="00EC6216" w:rsidP="00F8372E">
            <w:proofErr w:type="spellStart"/>
            <w:r w:rsidRPr="00DE1573">
              <w:t>StM</w:t>
            </w:r>
            <w:proofErr w:type="spellEnd"/>
          </w:p>
        </w:tc>
        <w:tc>
          <w:tcPr>
            <w:tcW w:w="5670" w:type="dxa"/>
          </w:tcPr>
          <w:p w14:paraId="7601977F" w14:textId="77777777" w:rsidR="00EC6216" w:rsidRPr="00DE1573" w:rsidRDefault="00EC6216" w:rsidP="00F8372E">
            <w:r w:rsidRPr="00DE1573">
              <w:t>Steward’s Mate</w:t>
            </w:r>
          </w:p>
        </w:tc>
        <w:tc>
          <w:tcPr>
            <w:tcW w:w="2520" w:type="dxa"/>
          </w:tcPr>
          <w:p w14:paraId="361DD09C" w14:textId="77777777" w:rsidR="00EC6216" w:rsidRPr="00DE1573" w:rsidRDefault="00EC6216" w:rsidP="00F8372E">
            <w:r w:rsidRPr="00DE1573">
              <w:t>Minimal</w:t>
            </w:r>
          </w:p>
        </w:tc>
      </w:tr>
      <w:tr w:rsidR="00EC6216" w:rsidRPr="00DE1573" w14:paraId="58E0D14E" w14:textId="77777777" w:rsidTr="00F8372E">
        <w:tc>
          <w:tcPr>
            <w:tcW w:w="1368" w:type="dxa"/>
          </w:tcPr>
          <w:p w14:paraId="044BBE64" w14:textId="77777777" w:rsidR="00EC6216" w:rsidRPr="00DE1573" w:rsidRDefault="00EC6216" w:rsidP="00F8372E">
            <w:r w:rsidRPr="00DE1573">
              <w:t>SW</w:t>
            </w:r>
          </w:p>
        </w:tc>
        <w:tc>
          <w:tcPr>
            <w:tcW w:w="5670" w:type="dxa"/>
          </w:tcPr>
          <w:p w14:paraId="68D3BB7F" w14:textId="77777777" w:rsidR="00EC6216" w:rsidRPr="00DE1573" w:rsidRDefault="00EC6216" w:rsidP="00F8372E">
            <w:r w:rsidRPr="00DE1573">
              <w:t>Steelworker</w:t>
            </w:r>
          </w:p>
        </w:tc>
        <w:tc>
          <w:tcPr>
            <w:tcW w:w="2520" w:type="dxa"/>
          </w:tcPr>
          <w:p w14:paraId="1DCCE7AE" w14:textId="77777777" w:rsidR="00EC6216" w:rsidRPr="00DE1573" w:rsidRDefault="00EC6216" w:rsidP="00F8372E">
            <w:r w:rsidRPr="00DE1573">
              <w:t>Probable</w:t>
            </w:r>
          </w:p>
        </w:tc>
      </w:tr>
      <w:tr w:rsidR="00EC6216" w:rsidRPr="00DE1573" w14:paraId="1266351B" w14:textId="77777777" w:rsidTr="00F8372E">
        <w:tc>
          <w:tcPr>
            <w:tcW w:w="1368" w:type="dxa"/>
          </w:tcPr>
          <w:p w14:paraId="43CA8809" w14:textId="77777777" w:rsidR="00EC6216" w:rsidRPr="00DE1573" w:rsidRDefault="00EC6216" w:rsidP="00F8372E">
            <w:r w:rsidRPr="00DE1573">
              <w:t>TA</w:t>
            </w:r>
          </w:p>
        </w:tc>
        <w:tc>
          <w:tcPr>
            <w:tcW w:w="5670" w:type="dxa"/>
          </w:tcPr>
          <w:p w14:paraId="4BD18DEC" w14:textId="77777777" w:rsidR="00EC6216" w:rsidRPr="00DE1573" w:rsidRDefault="00EC6216" w:rsidP="00F8372E">
            <w:r w:rsidRPr="00DE1573">
              <w:t>Stewart Apprentice</w:t>
            </w:r>
          </w:p>
        </w:tc>
        <w:tc>
          <w:tcPr>
            <w:tcW w:w="2520" w:type="dxa"/>
          </w:tcPr>
          <w:p w14:paraId="413E699B" w14:textId="77777777" w:rsidR="00EC6216" w:rsidRPr="00DE1573" w:rsidRDefault="00EC6216" w:rsidP="00F8372E">
            <w:r w:rsidRPr="00DE1573">
              <w:t>Minimal</w:t>
            </w:r>
          </w:p>
        </w:tc>
      </w:tr>
      <w:tr w:rsidR="00EC6216" w:rsidRPr="00DE1573" w14:paraId="289CB2AB" w14:textId="77777777" w:rsidTr="00F8372E">
        <w:tc>
          <w:tcPr>
            <w:tcW w:w="1368" w:type="dxa"/>
          </w:tcPr>
          <w:p w14:paraId="760FFF75" w14:textId="77777777" w:rsidR="00EC6216" w:rsidRPr="00DE1573" w:rsidRDefault="00EC6216" w:rsidP="00F8372E">
            <w:r w:rsidRPr="00DE1573">
              <w:t>TD</w:t>
            </w:r>
          </w:p>
        </w:tc>
        <w:tc>
          <w:tcPr>
            <w:tcW w:w="5670" w:type="dxa"/>
          </w:tcPr>
          <w:p w14:paraId="5EC8239D" w14:textId="77777777" w:rsidR="00EC6216" w:rsidRPr="00DE1573" w:rsidRDefault="00EC6216" w:rsidP="00F8372E">
            <w:proofErr w:type="spellStart"/>
            <w:r w:rsidRPr="00DE1573">
              <w:t>Trademan</w:t>
            </w:r>
            <w:proofErr w:type="spellEnd"/>
          </w:p>
        </w:tc>
        <w:tc>
          <w:tcPr>
            <w:tcW w:w="2520" w:type="dxa"/>
          </w:tcPr>
          <w:p w14:paraId="3F0B1E78" w14:textId="77777777" w:rsidR="00EC6216" w:rsidRPr="00DE1573" w:rsidRDefault="00EC6216" w:rsidP="00F8372E">
            <w:r w:rsidRPr="00DE1573">
              <w:t>Minimal</w:t>
            </w:r>
          </w:p>
        </w:tc>
      </w:tr>
      <w:tr w:rsidR="00EC6216" w:rsidRPr="00DE1573" w14:paraId="5D908F25" w14:textId="77777777" w:rsidTr="00F8372E">
        <w:tc>
          <w:tcPr>
            <w:tcW w:w="1368" w:type="dxa"/>
          </w:tcPr>
          <w:p w14:paraId="1E7F1221" w14:textId="77777777" w:rsidR="00EC6216" w:rsidRPr="00DE1573" w:rsidRDefault="00EC6216" w:rsidP="00F8372E">
            <w:r w:rsidRPr="00DE1573">
              <w:t>TE</w:t>
            </w:r>
          </w:p>
        </w:tc>
        <w:tc>
          <w:tcPr>
            <w:tcW w:w="5670" w:type="dxa"/>
          </w:tcPr>
          <w:p w14:paraId="0BE744D2" w14:textId="77777777" w:rsidR="00EC6216" w:rsidRPr="00DE1573" w:rsidRDefault="00EC6216" w:rsidP="00F8372E">
            <w:r w:rsidRPr="00DE1573">
              <w:t>Teletype</w:t>
            </w:r>
          </w:p>
        </w:tc>
        <w:tc>
          <w:tcPr>
            <w:tcW w:w="2520" w:type="dxa"/>
          </w:tcPr>
          <w:p w14:paraId="4247F50B" w14:textId="77777777" w:rsidR="00EC6216" w:rsidRPr="00DE1573" w:rsidRDefault="00EC6216" w:rsidP="00F8372E">
            <w:r w:rsidRPr="00DE1573">
              <w:t>Minimal</w:t>
            </w:r>
          </w:p>
        </w:tc>
      </w:tr>
      <w:tr w:rsidR="00EC6216" w:rsidRPr="00DE1573" w14:paraId="2EE446E3" w14:textId="77777777" w:rsidTr="00F8372E">
        <w:tc>
          <w:tcPr>
            <w:tcW w:w="1368" w:type="dxa"/>
          </w:tcPr>
          <w:p w14:paraId="0DD06AB7" w14:textId="77777777" w:rsidR="00EC6216" w:rsidRPr="00DE1573" w:rsidRDefault="00EC6216" w:rsidP="00F8372E">
            <w:r w:rsidRPr="00DE1573">
              <w:t>TM</w:t>
            </w:r>
          </w:p>
        </w:tc>
        <w:tc>
          <w:tcPr>
            <w:tcW w:w="5670" w:type="dxa"/>
          </w:tcPr>
          <w:p w14:paraId="0F9AB404" w14:textId="77777777" w:rsidR="00EC6216" w:rsidRPr="00DE1573" w:rsidRDefault="00EC6216" w:rsidP="00F8372E">
            <w:proofErr w:type="spellStart"/>
            <w:r w:rsidRPr="00DE1573">
              <w:t>Torpedoman’s</w:t>
            </w:r>
            <w:proofErr w:type="spellEnd"/>
            <w:r w:rsidRPr="00DE1573">
              <w:t xml:space="preserve"> Mate</w:t>
            </w:r>
          </w:p>
        </w:tc>
        <w:tc>
          <w:tcPr>
            <w:tcW w:w="2520" w:type="dxa"/>
          </w:tcPr>
          <w:p w14:paraId="3CF8C682" w14:textId="77777777" w:rsidR="00EC6216" w:rsidRPr="00DE1573" w:rsidRDefault="00EC6216" w:rsidP="00F8372E">
            <w:r w:rsidRPr="00DE1573">
              <w:t>Probable</w:t>
            </w:r>
          </w:p>
        </w:tc>
      </w:tr>
      <w:tr w:rsidR="00EC6216" w:rsidRPr="00DE1573" w14:paraId="1455CE67" w14:textId="77777777" w:rsidTr="00F8372E">
        <w:tc>
          <w:tcPr>
            <w:tcW w:w="1368" w:type="dxa"/>
          </w:tcPr>
          <w:p w14:paraId="06804E41" w14:textId="77777777" w:rsidR="00EC6216" w:rsidRPr="00DE1573" w:rsidRDefault="00EC6216" w:rsidP="00F8372E">
            <w:r w:rsidRPr="00DE1573">
              <w:t>TN</w:t>
            </w:r>
          </w:p>
        </w:tc>
        <w:tc>
          <w:tcPr>
            <w:tcW w:w="5670" w:type="dxa"/>
          </w:tcPr>
          <w:p w14:paraId="0346DAA6" w14:textId="77777777" w:rsidR="00EC6216" w:rsidRPr="00DE1573" w:rsidRDefault="00EC6216" w:rsidP="00F8372E">
            <w:proofErr w:type="spellStart"/>
            <w:r w:rsidRPr="00DE1573">
              <w:t>Stewardsman</w:t>
            </w:r>
            <w:proofErr w:type="spellEnd"/>
          </w:p>
        </w:tc>
        <w:tc>
          <w:tcPr>
            <w:tcW w:w="2520" w:type="dxa"/>
          </w:tcPr>
          <w:p w14:paraId="503ECD46" w14:textId="77777777" w:rsidR="00EC6216" w:rsidRPr="00DE1573" w:rsidRDefault="00EC6216" w:rsidP="00F8372E">
            <w:r w:rsidRPr="00DE1573">
              <w:t>Minimal</w:t>
            </w:r>
          </w:p>
        </w:tc>
      </w:tr>
      <w:tr w:rsidR="00EC6216" w:rsidRPr="00DE1573" w14:paraId="331E400E" w14:textId="77777777" w:rsidTr="00F8372E">
        <w:tc>
          <w:tcPr>
            <w:tcW w:w="1368" w:type="dxa"/>
          </w:tcPr>
          <w:p w14:paraId="3ADBF2FA" w14:textId="77777777" w:rsidR="00EC6216" w:rsidRPr="00DE1573" w:rsidRDefault="00EC6216" w:rsidP="00F8372E">
            <w:r w:rsidRPr="00DE1573">
              <w:t>UT</w:t>
            </w:r>
          </w:p>
        </w:tc>
        <w:tc>
          <w:tcPr>
            <w:tcW w:w="5670" w:type="dxa"/>
          </w:tcPr>
          <w:p w14:paraId="23052515" w14:textId="77777777" w:rsidR="00EC6216" w:rsidRPr="00DE1573" w:rsidRDefault="00EC6216" w:rsidP="00F8372E">
            <w:proofErr w:type="spellStart"/>
            <w:r w:rsidRPr="00DE1573">
              <w:t>Utilitiesman</w:t>
            </w:r>
            <w:proofErr w:type="spellEnd"/>
          </w:p>
        </w:tc>
        <w:tc>
          <w:tcPr>
            <w:tcW w:w="2520" w:type="dxa"/>
          </w:tcPr>
          <w:p w14:paraId="176C5C51" w14:textId="77777777" w:rsidR="00EC6216" w:rsidRPr="00DE1573" w:rsidRDefault="00EC6216" w:rsidP="00F8372E">
            <w:r w:rsidRPr="00DE1573">
              <w:t>Highly Probable</w:t>
            </w:r>
          </w:p>
        </w:tc>
      </w:tr>
      <w:tr w:rsidR="00EC6216" w:rsidRPr="00DE1573" w14:paraId="0573E645" w14:textId="77777777" w:rsidTr="00F8372E">
        <w:tc>
          <w:tcPr>
            <w:tcW w:w="1368" w:type="dxa"/>
          </w:tcPr>
          <w:p w14:paraId="2A8C2E81" w14:textId="77777777" w:rsidR="00EC6216" w:rsidRPr="00DE1573" w:rsidRDefault="00EC6216" w:rsidP="00F8372E">
            <w:r w:rsidRPr="00DE1573">
              <w:t>WT</w:t>
            </w:r>
          </w:p>
        </w:tc>
        <w:tc>
          <w:tcPr>
            <w:tcW w:w="5670" w:type="dxa"/>
          </w:tcPr>
          <w:p w14:paraId="5EE0E766" w14:textId="77777777" w:rsidR="00EC6216" w:rsidRPr="00DE1573" w:rsidRDefault="00EC6216" w:rsidP="00F8372E">
            <w:r w:rsidRPr="00DE1573">
              <w:t>Water Tender</w:t>
            </w:r>
          </w:p>
        </w:tc>
        <w:tc>
          <w:tcPr>
            <w:tcW w:w="2520" w:type="dxa"/>
          </w:tcPr>
          <w:p w14:paraId="751A1A67" w14:textId="77777777" w:rsidR="00EC6216" w:rsidRPr="00DE1573" w:rsidRDefault="00EC6216" w:rsidP="00F8372E">
            <w:r w:rsidRPr="00DE1573">
              <w:t>Highly Probable</w:t>
            </w:r>
          </w:p>
        </w:tc>
      </w:tr>
      <w:tr w:rsidR="00EC6216" w:rsidRPr="00DE1573" w14:paraId="3D56F396" w14:textId="77777777" w:rsidTr="00F8372E">
        <w:tc>
          <w:tcPr>
            <w:tcW w:w="1368" w:type="dxa"/>
          </w:tcPr>
          <w:p w14:paraId="4A559A7D" w14:textId="77777777" w:rsidR="00EC6216" w:rsidRPr="00DE1573" w:rsidRDefault="00EC6216" w:rsidP="00F8372E">
            <w:r w:rsidRPr="00DE1573">
              <w:t>Y</w:t>
            </w:r>
          </w:p>
        </w:tc>
        <w:tc>
          <w:tcPr>
            <w:tcW w:w="5670" w:type="dxa"/>
          </w:tcPr>
          <w:p w14:paraId="51149ACE" w14:textId="77777777" w:rsidR="00EC6216" w:rsidRPr="00DE1573" w:rsidRDefault="00EC6216" w:rsidP="00F8372E">
            <w:r w:rsidRPr="00DE1573">
              <w:t>Yeoman</w:t>
            </w:r>
          </w:p>
        </w:tc>
        <w:tc>
          <w:tcPr>
            <w:tcW w:w="2520" w:type="dxa"/>
          </w:tcPr>
          <w:p w14:paraId="1E83B22C" w14:textId="77777777" w:rsidR="00EC6216" w:rsidRPr="00DE1573" w:rsidRDefault="00EC6216" w:rsidP="00F8372E">
            <w:r w:rsidRPr="00DE1573">
              <w:t>Minimal</w:t>
            </w:r>
          </w:p>
        </w:tc>
      </w:tr>
    </w:tbl>
    <w:p w14:paraId="6C187433" w14:textId="77777777" w:rsidR="00BF6452" w:rsidRPr="00DE1573" w:rsidRDefault="00BF6452" w:rsidP="00BF6452"/>
    <w:tbl>
      <w:tblPr>
        <w:tblStyle w:val="TableGrid"/>
        <w:tblW w:w="7740"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BF6452" w:rsidRPr="00DE1573" w14:paraId="2CA283F9" w14:textId="77777777" w:rsidTr="00BF6452">
        <w:tc>
          <w:tcPr>
            <w:tcW w:w="7740" w:type="dxa"/>
            <w:shd w:val="clear" w:color="auto" w:fill="auto"/>
          </w:tcPr>
          <w:p w14:paraId="79E04ACD" w14:textId="17EF9666" w:rsidR="00BF6452" w:rsidRPr="00DE1573" w:rsidRDefault="00BF6452" w:rsidP="00BF6452">
            <w:r w:rsidRPr="00DE1573">
              <w:rPr>
                <w:b/>
                <w:i/>
              </w:rPr>
              <w:t>Note</w:t>
            </w:r>
            <w:r w:rsidRPr="00DE1573">
              <w:t>:  This list is not exclusive</w:t>
            </w:r>
            <w:r w:rsidR="00D632FA" w:rsidRPr="00DE1573">
              <w:t xml:space="preserve"> and exposure may be otherwise demonstrated on review of the claims folder</w:t>
            </w:r>
            <w:r w:rsidRPr="00DE1573">
              <w:t>.  Each claim based on asbestos exposure must be adjudicated on its own merit</w:t>
            </w:r>
            <w:r w:rsidR="00D632FA" w:rsidRPr="00DE1573">
              <w:t xml:space="preserve"> with MOS being one consideration in determining whether there was an exposure event</w:t>
            </w:r>
            <w:r w:rsidRPr="00DE1573">
              <w:t xml:space="preserve">.  </w:t>
            </w:r>
          </w:p>
        </w:tc>
      </w:tr>
    </w:tbl>
    <w:p w14:paraId="2F2F5187" w14:textId="7251AF91" w:rsidR="00EC6216" w:rsidRPr="00DE1573" w:rsidRDefault="00BF6452" w:rsidP="00BF6452">
      <w:pPr>
        <w:tabs>
          <w:tab w:val="left" w:pos="9360"/>
        </w:tabs>
        <w:ind w:left="1714"/>
      </w:pPr>
      <w:r w:rsidRPr="00DE1573">
        <w:rPr>
          <w:u w:val="single"/>
        </w:rPr>
        <w:tab/>
      </w:r>
      <w:r w:rsidR="00EC6216" w:rsidRPr="00DE1573">
        <w:tab/>
      </w:r>
    </w:p>
    <w:p w14:paraId="4960A9CC" w14:textId="146223FE" w:rsidR="00EC6216" w:rsidRPr="00DE1573" w:rsidRDefault="00EC6216" w:rsidP="00EC62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EC6216" w:rsidRPr="00DE1573" w14:paraId="4C32A55A" w14:textId="77777777" w:rsidTr="00EC6216">
        <w:tc>
          <w:tcPr>
            <w:tcW w:w="1728" w:type="dxa"/>
            <w:shd w:val="clear" w:color="auto" w:fill="auto"/>
          </w:tcPr>
          <w:p w14:paraId="0CA5C1A4" w14:textId="710B81B1" w:rsidR="00EC6216" w:rsidRPr="00DE1573" w:rsidRDefault="0075507A" w:rsidP="00EC6216">
            <w:pPr>
              <w:rPr>
                <w:b/>
                <w:sz w:val="22"/>
              </w:rPr>
            </w:pPr>
            <w:r w:rsidRPr="00DE1573">
              <w:rPr>
                <w:b/>
                <w:sz w:val="22"/>
              </w:rPr>
              <w:t>d</w:t>
            </w:r>
            <w:r w:rsidR="00EC6216" w:rsidRPr="00DE1573">
              <w:rPr>
                <w:b/>
                <w:sz w:val="22"/>
              </w:rPr>
              <w:t xml:space="preserve">.  </w:t>
            </w:r>
            <w:r w:rsidR="00272171" w:rsidRPr="00DE1573">
              <w:rPr>
                <w:b/>
                <w:sz w:val="22"/>
              </w:rPr>
              <w:t>Developing for Evidence of In-Service Asbestos Exposure</w:t>
            </w:r>
            <w:r w:rsidR="005B1F84" w:rsidRPr="00DE1573">
              <w:rPr>
                <w:b/>
                <w:sz w:val="22"/>
              </w:rPr>
              <w:t xml:space="preserve"> in Substantially Complete Claims</w:t>
            </w:r>
          </w:p>
        </w:tc>
        <w:tc>
          <w:tcPr>
            <w:tcW w:w="7740" w:type="dxa"/>
            <w:shd w:val="clear" w:color="auto" w:fill="auto"/>
          </w:tcPr>
          <w:p w14:paraId="7FC39EB4" w14:textId="3F47D669" w:rsidR="008763FE" w:rsidRPr="00DE1573" w:rsidRDefault="002E2D8F" w:rsidP="0084559E">
            <w:r w:rsidRPr="00DE1573">
              <w:t>C</w:t>
            </w:r>
            <w:r w:rsidR="00272171" w:rsidRPr="00DE1573">
              <w:t xml:space="preserve">omplete a </w:t>
            </w:r>
            <w:r w:rsidR="00D632FA" w:rsidRPr="00DE1573">
              <w:t>Personnel Information Exchange System (</w:t>
            </w:r>
            <w:r w:rsidR="00272171" w:rsidRPr="00DE1573">
              <w:t>PIES</w:t>
            </w:r>
            <w:r w:rsidR="00D632FA" w:rsidRPr="00DE1573">
              <w:t>)</w:t>
            </w:r>
            <w:r w:rsidR="00272171" w:rsidRPr="00DE1573">
              <w:t xml:space="preserve"> request</w:t>
            </w:r>
            <w:r w:rsidR="00000859" w:rsidRPr="00DE1573">
              <w:t xml:space="preserve"> for military personnel records</w:t>
            </w:r>
            <w:r w:rsidR="00272171" w:rsidRPr="00DE1573">
              <w:t xml:space="preserve"> </w:t>
            </w:r>
            <w:r w:rsidRPr="00DE1573">
              <w:t>using</w:t>
            </w:r>
          </w:p>
          <w:p w14:paraId="07C7A5C8" w14:textId="77777777" w:rsidR="008763FE" w:rsidRPr="00DE1573" w:rsidRDefault="008763FE" w:rsidP="0084559E"/>
          <w:p w14:paraId="3D2B77B5" w14:textId="77777777" w:rsidR="008763FE" w:rsidRPr="00DE1573" w:rsidRDefault="00272171" w:rsidP="0061795F">
            <w:pPr>
              <w:pStyle w:val="ListParagraph"/>
              <w:numPr>
                <w:ilvl w:val="0"/>
                <w:numId w:val="36"/>
              </w:numPr>
              <w:ind w:left="158" w:hanging="187"/>
            </w:pPr>
            <w:r w:rsidRPr="00DE1573">
              <w:t xml:space="preserve">code O16 </w:t>
            </w:r>
            <w:r w:rsidR="00000859" w:rsidRPr="00DE1573">
              <w:t>for paper claims</w:t>
            </w:r>
            <w:r w:rsidR="008763FE" w:rsidRPr="00DE1573">
              <w:t xml:space="preserve">, or </w:t>
            </w:r>
          </w:p>
          <w:p w14:paraId="503B4A23" w14:textId="77777777" w:rsidR="008763FE" w:rsidRPr="00DE1573" w:rsidRDefault="00000859" w:rsidP="0061795F">
            <w:pPr>
              <w:pStyle w:val="ListParagraph"/>
              <w:numPr>
                <w:ilvl w:val="0"/>
                <w:numId w:val="36"/>
              </w:numPr>
              <w:ind w:left="158" w:hanging="187"/>
            </w:pPr>
            <w:proofErr w:type="gramStart"/>
            <w:r w:rsidRPr="00DE1573">
              <w:t>code</w:t>
            </w:r>
            <w:proofErr w:type="gramEnd"/>
            <w:r w:rsidRPr="00DE1573">
              <w:t xml:space="preserve"> O50 for claims proc</w:t>
            </w:r>
            <w:r w:rsidR="0084559E" w:rsidRPr="00DE1573">
              <w:t>essed in VBMS</w:t>
            </w:r>
            <w:r w:rsidR="008763FE" w:rsidRPr="00DE1573">
              <w:t>.</w:t>
            </w:r>
          </w:p>
          <w:p w14:paraId="1CD26FF9" w14:textId="77777777" w:rsidR="008763FE" w:rsidRPr="00DE1573" w:rsidRDefault="008763FE" w:rsidP="008763FE">
            <w:pPr>
              <w:pStyle w:val="ListParagraph"/>
              <w:ind w:left="158"/>
            </w:pPr>
          </w:p>
          <w:p w14:paraId="72454070" w14:textId="40A513D4" w:rsidR="00EC6216" w:rsidRPr="00DE1573" w:rsidRDefault="008763FE" w:rsidP="008763FE">
            <w:r w:rsidRPr="00DE1573">
              <w:t>This is necessary</w:t>
            </w:r>
            <w:r w:rsidR="00CF0084" w:rsidRPr="00DE1573">
              <w:t xml:space="preserve"> in order to determine all MOSs the Veteran performed while in service</w:t>
            </w:r>
            <w:r w:rsidR="00272171" w:rsidRPr="00DE1573">
              <w:t>.</w:t>
            </w:r>
          </w:p>
          <w:p w14:paraId="7A191B85" w14:textId="77777777" w:rsidR="00272171" w:rsidRPr="00DE1573" w:rsidRDefault="00272171" w:rsidP="00EC6216"/>
          <w:p w14:paraId="17BC5C47" w14:textId="6EBEA9E1" w:rsidR="00272171" w:rsidRPr="00DE1573" w:rsidRDefault="00272171" w:rsidP="00272171">
            <w:r w:rsidRPr="00DE1573">
              <w:t>At the same time, send a</w:t>
            </w:r>
            <w:r w:rsidR="005B1F84" w:rsidRPr="00DE1573">
              <w:t xml:space="preserve"> development</w:t>
            </w:r>
            <w:r w:rsidRPr="00DE1573">
              <w:t xml:space="preserve"> letter to the Veteran requesting</w:t>
            </w:r>
            <w:r w:rsidR="004F155F" w:rsidRPr="00DE1573">
              <w:t xml:space="preserve"> additional exposure information</w:t>
            </w:r>
            <w:r w:rsidR="002E2D8F" w:rsidRPr="00DE1573">
              <w:t xml:space="preserve"> if not already of record, or if exposure has not been conceded</w:t>
            </w:r>
            <w:r w:rsidR="004F155F" w:rsidRPr="00DE1573">
              <w:t>.  Use VBMS or MAP-D to generate the applicable paragraphs for placement in the letter by selecting the following entries:</w:t>
            </w:r>
          </w:p>
          <w:p w14:paraId="10B3039D" w14:textId="77777777" w:rsidR="004F155F" w:rsidRPr="00DE1573" w:rsidRDefault="004F155F" w:rsidP="00272171"/>
          <w:p w14:paraId="5984AD74" w14:textId="41F6A7E6" w:rsidR="004F155F" w:rsidRPr="00DE1573" w:rsidRDefault="004F155F" w:rsidP="0061795F">
            <w:pPr>
              <w:pStyle w:val="ListParagraph"/>
              <w:numPr>
                <w:ilvl w:val="0"/>
                <w:numId w:val="22"/>
              </w:numPr>
              <w:ind w:left="158" w:hanging="187"/>
            </w:pPr>
            <w:r w:rsidRPr="00DE1573">
              <w:t>ASB – TELL US WHERE, WHEN, HOW EXPOSED, and</w:t>
            </w:r>
          </w:p>
          <w:p w14:paraId="2E9401A4" w14:textId="15997FDA" w:rsidR="004F155F" w:rsidRPr="00DE1573" w:rsidRDefault="004F155F" w:rsidP="0061795F">
            <w:pPr>
              <w:pStyle w:val="ListParagraph"/>
              <w:numPr>
                <w:ilvl w:val="0"/>
                <w:numId w:val="22"/>
              </w:numPr>
              <w:ind w:left="158" w:hanging="187"/>
            </w:pPr>
            <w:r w:rsidRPr="00DE1573">
              <w:t>ASB – MEDICAL EVID OF DISEASE (BIOPSY) NEEDED.</w:t>
            </w:r>
          </w:p>
          <w:p w14:paraId="233F8744" w14:textId="77777777" w:rsidR="00D278A4" w:rsidRPr="00DE1573" w:rsidRDefault="00D278A4" w:rsidP="00087AF5"/>
          <w:p w14:paraId="459F0C3E" w14:textId="4A5578D6" w:rsidR="00D278A4" w:rsidRPr="00DE1573" w:rsidRDefault="00D278A4" w:rsidP="00087AF5">
            <w:r w:rsidRPr="00DE1573">
              <w:rPr>
                <w:b/>
                <w:i/>
              </w:rPr>
              <w:t>Important</w:t>
            </w:r>
            <w:r w:rsidRPr="00DE1573">
              <w:t>:  The determination as to whether to concede exposure to asbestos is based on a complete review of the claims folder.  Therefore, continue to develop for asbestos exposure via PIES even if no response from the Veteran to the development letter has been received.  If exposure is confirmed by records to include military personnel records, follow the guidance contained at M21-1, Part IV, Subpart ii, 1.I.</w:t>
            </w:r>
            <w:r w:rsidR="00495F56" w:rsidRPr="00DE1573">
              <w:t>3.e.</w:t>
            </w:r>
            <w:r w:rsidRPr="00DE1573">
              <w:t xml:space="preserve"> </w:t>
            </w:r>
          </w:p>
          <w:p w14:paraId="4A1DC5AB" w14:textId="77777777" w:rsidR="004F155F" w:rsidRPr="00DE1573" w:rsidRDefault="004F155F" w:rsidP="004F155F">
            <w:pPr>
              <w:rPr>
                <w:i/>
              </w:rPr>
            </w:pPr>
          </w:p>
          <w:p w14:paraId="5C0C07F3" w14:textId="77777777" w:rsidR="001C5B1C" w:rsidRPr="00DE1573" w:rsidRDefault="004F155F" w:rsidP="004F155F">
            <w:r w:rsidRPr="00DE1573">
              <w:rPr>
                <w:b/>
                <w:i/>
              </w:rPr>
              <w:t>Note</w:t>
            </w:r>
            <w:r w:rsidR="001C5B1C" w:rsidRPr="00DE1573">
              <w:rPr>
                <w:b/>
                <w:i/>
              </w:rPr>
              <w:t>s</w:t>
            </w:r>
            <w:r w:rsidRPr="00DE1573">
              <w:t xml:space="preserve">:  </w:t>
            </w:r>
          </w:p>
          <w:p w14:paraId="5A63660B" w14:textId="3DFE8714" w:rsidR="001C5B1C" w:rsidRPr="00DE1573" w:rsidRDefault="001C5B1C" w:rsidP="0061795F">
            <w:pPr>
              <w:pStyle w:val="ListParagraph"/>
              <w:numPr>
                <w:ilvl w:val="0"/>
                <w:numId w:val="34"/>
              </w:numPr>
              <w:ind w:left="158" w:hanging="187"/>
            </w:pPr>
            <w:r w:rsidRPr="00DE1573">
              <w:t xml:space="preserve">Upon selection, a </w:t>
            </w:r>
            <w:r w:rsidRPr="00DE1573">
              <w:rPr>
                <w:i/>
              </w:rPr>
              <w:t>VA Form 21-4142, Authorization to Disclose Information to the Department of Veterans Affairs</w:t>
            </w:r>
            <w:r w:rsidRPr="00DE1573">
              <w:t xml:space="preserve">, is generated and is to be included in the letter for the Veteran to complete if the Veteran wishes for the VA to attempt to obtain any doctor, hospital, or medical reports on his/her behalf. </w:t>
            </w:r>
          </w:p>
          <w:p w14:paraId="4E02603B" w14:textId="5DC25353" w:rsidR="00272171" w:rsidRPr="00DE1573" w:rsidRDefault="001C5B1C" w:rsidP="0061795F">
            <w:pPr>
              <w:pStyle w:val="ListParagraph"/>
              <w:numPr>
                <w:ilvl w:val="0"/>
                <w:numId w:val="35"/>
              </w:numPr>
              <w:ind w:left="158" w:hanging="187"/>
            </w:pPr>
            <w:r w:rsidRPr="00DE1573">
              <w:t>Obtaining the military personnel records before scheduling an examination for an MOS listed as having minimal exposure probability ensures that examiners know about any other MOS that the Veteran may have served under that may have resulted in asbestos exposure.</w:t>
            </w:r>
          </w:p>
        </w:tc>
      </w:tr>
    </w:tbl>
    <w:p w14:paraId="16FA1E1E" w14:textId="0D980A5E" w:rsidR="00EC6216" w:rsidRPr="00DE1573" w:rsidRDefault="00256306" w:rsidP="00256306">
      <w:pPr>
        <w:tabs>
          <w:tab w:val="left" w:pos="9360"/>
        </w:tabs>
        <w:ind w:left="1714"/>
      </w:pPr>
      <w:r w:rsidRPr="00DE1573">
        <w:rPr>
          <w:u w:val="single"/>
        </w:rPr>
        <w:tab/>
      </w:r>
    </w:p>
    <w:p w14:paraId="1229AB10" w14:textId="3FF78D3C" w:rsidR="00256306" w:rsidRPr="00DE1573" w:rsidRDefault="00256306" w:rsidP="002563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2D60C8" w:rsidRPr="00DE1573" w14:paraId="5ABEB355" w14:textId="77777777" w:rsidTr="002D60C8">
        <w:tc>
          <w:tcPr>
            <w:tcW w:w="1728" w:type="dxa"/>
            <w:shd w:val="clear" w:color="auto" w:fill="auto"/>
          </w:tcPr>
          <w:p w14:paraId="0D2B24C8" w14:textId="722CEC7F" w:rsidR="002D60C8" w:rsidRPr="00DE1573" w:rsidRDefault="002D60C8">
            <w:pPr>
              <w:rPr>
                <w:b/>
                <w:sz w:val="22"/>
              </w:rPr>
            </w:pPr>
            <w:r w:rsidRPr="00DE1573">
              <w:rPr>
                <w:b/>
                <w:sz w:val="22"/>
              </w:rPr>
              <w:t>e.  Consideration of All Evidence in the Claims Folder in Determining In-Service Asbestos Exposure</w:t>
            </w:r>
            <w:r w:rsidR="006A12CC" w:rsidRPr="00DE1573">
              <w:rPr>
                <w:b/>
                <w:sz w:val="22"/>
              </w:rPr>
              <w:t xml:space="preserve"> </w:t>
            </w:r>
          </w:p>
        </w:tc>
        <w:tc>
          <w:tcPr>
            <w:tcW w:w="7740" w:type="dxa"/>
            <w:shd w:val="clear" w:color="auto" w:fill="auto"/>
          </w:tcPr>
          <w:p w14:paraId="01675DA2" w14:textId="43CB244A" w:rsidR="008763FE" w:rsidRPr="00DE1573" w:rsidRDefault="008763FE" w:rsidP="00581145">
            <w:r w:rsidRPr="00DE1573">
              <w:t>If an MOS is listed as minimal, probable, or highly probable in the table above, concede asbestos exposure for purposes of scheduling an examination.</w:t>
            </w:r>
          </w:p>
          <w:p w14:paraId="757FD2E9" w14:textId="77777777" w:rsidR="008763FE" w:rsidRPr="00DE1573" w:rsidRDefault="008763FE" w:rsidP="00581145"/>
          <w:p w14:paraId="1947C1A9" w14:textId="5AC4F854" w:rsidR="00581145" w:rsidRPr="00DE1573" w:rsidRDefault="00581145" w:rsidP="00581145">
            <w:r w:rsidRPr="00DE1573">
              <w:t xml:space="preserve">As discussed at M21-1, Part IV, Subpart ii, 1.I.3.c, asbestos exposure may be demonstrated upon review of the claims folder on a basis other than MOS.  Any evidence that is probative of (serves to establish) asbestos exposure may be used to support a determination that asbestos exposure occurred.  Determining whether evidence proves a Veteran </w:t>
            </w:r>
            <w:r w:rsidR="008763FE" w:rsidRPr="00DE1573">
              <w:t xml:space="preserve">was exposed to asbestos </w:t>
            </w:r>
            <w:r w:rsidRPr="00DE1573">
              <w:t>requires an evaluation of all of the evidence in the case, including</w:t>
            </w:r>
          </w:p>
          <w:p w14:paraId="70DD1F86" w14:textId="77777777" w:rsidR="00581145" w:rsidRPr="00DE1573" w:rsidRDefault="00581145" w:rsidP="00581145"/>
          <w:p w14:paraId="6E0F3B2F" w14:textId="77777777" w:rsidR="00581145" w:rsidRPr="00DE1573" w:rsidRDefault="00581145" w:rsidP="0061795F">
            <w:pPr>
              <w:pStyle w:val="ListParagraph"/>
              <w:numPr>
                <w:ilvl w:val="0"/>
                <w:numId w:val="32"/>
              </w:numPr>
              <w:ind w:left="158" w:hanging="187"/>
            </w:pPr>
            <w:r w:rsidRPr="00DE1573">
              <w:t>an assessment of the credibility of the evidence, and</w:t>
            </w:r>
          </w:p>
          <w:p w14:paraId="595E5C4E" w14:textId="77777777" w:rsidR="00581145" w:rsidRPr="00DE1573" w:rsidRDefault="00581145" w:rsidP="0061795F">
            <w:pPr>
              <w:pStyle w:val="ListParagraph"/>
              <w:numPr>
                <w:ilvl w:val="0"/>
                <w:numId w:val="33"/>
              </w:numPr>
              <w:ind w:left="158" w:hanging="187"/>
            </w:pPr>
            <w:proofErr w:type="gramStart"/>
            <w:r w:rsidRPr="00DE1573">
              <w:t>whether</w:t>
            </w:r>
            <w:proofErr w:type="gramEnd"/>
            <w:r w:rsidRPr="00DE1573">
              <w:t xml:space="preserve"> the evidence establishes that the exposure occurred.</w:t>
            </w:r>
          </w:p>
          <w:p w14:paraId="1407FB46" w14:textId="77777777" w:rsidR="00581145" w:rsidRPr="00DE1573" w:rsidRDefault="00581145" w:rsidP="00581145"/>
          <w:p w14:paraId="113F653B" w14:textId="77777777" w:rsidR="00581145" w:rsidRPr="00DE1573" w:rsidRDefault="00581145" w:rsidP="00581145">
            <w:r w:rsidRPr="00DE1573">
              <w:lastRenderedPageBreak/>
              <w:t>In determining whether asbestos exposure has been demonstrated by the evidence of record, consider</w:t>
            </w:r>
          </w:p>
          <w:p w14:paraId="481B2FC5" w14:textId="77777777" w:rsidR="00581145" w:rsidRPr="00DE1573" w:rsidRDefault="00581145" w:rsidP="00581145"/>
          <w:p w14:paraId="56048044" w14:textId="77777777" w:rsidR="00581145" w:rsidRPr="00DE1573" w:rsidRDefault="00581145" w:rsidP="0061795F">
            <w:pPr>
              <w:pStyle w:val="ListParagraph"/>
              <w:numPr>
                <w:ilvl w:val="0"/>
                <w:numId w:val="25"/>
              </w:numPr>
              <w:ind w:left="158" w:hanging="187"/>
            </w:pPr>
            <w:r w:rsidRPr="00DE1573">
              <w:t>exposure information that the Veteran provides in response to the asbestos development letter to include lay testimony</w:t>
            </w:r>
          </w:p>
          <w:p w14:paraId="05B99988" w14:textId="77777777" w:rsidR="00581145" w:rsidRPr="00DE1573" w:rsidRDefault="00581145" w:rsidP="0061795F">
            <w:pPr>
              <w:pStyle w:val="ListParagraph"/>
              <w:numPr>
                <w:ilvl w:val="0"/>
                <w:numId w:val="25"/>
              </w:numPr>
              <w:ind w:left="158" w:hanging="187"/>
            </w:pPr>
            <w:r w:rsidRPr="00DE1573">
              <w:t>service personnel records</w:t>
            </w:r>
          </w:p>
          <w:p w14:paraId="3C43AE4E" w14:textId="77777777" w:rsidR="00581145" w:rsidRPr="00DE1573" w:rsidRDefault="00581145" w:rsidP="0061795F">
            <w:pPr>
              <w:pStyle w:val="ListParagraph"/>
              <w:numPr>
                <w:ilvl w:val="0"/>
                <w:numId w:val="25"/>
              </w:numPr>
              <w:ind w:left="158" w:hanging="187"/>
            </w:pPr>
            <w:r w:rsidRPr="00DE1573">
              <w:t>service treatment records</w:t>
            </w:r>
          </w:p>
          <w:p w14:paraId="141C75B4" w14:textId="77777777" w:rsidR="00374303" w:rsidRPr="00DE1573" w:rsidRDefault="00581145" w:rsidP="0061795F">
            <w:pPr>
              <w:pStyle w:val="ListParagraph"/>
              <w:numPr>
                <w:ilvl w:val="0"/>
                <w:numId w:val="25"/>
              </w:numPr>
              <w:ind w:left="158" w:hanging="187"/>
            </w:pPr>
            <w:r w:rsidRPr="00DE1573">
              <w:t xml:space="preserve">buddy statements, and </w:t>
            </w:r>
          </w:p>
          <w:p w14:paraId="3D2D2977" w14:textId="76175574" w:rsidR="002D60C8" w:rsidRPr="00DE1573" w:rsidRDefault="00581145" w:rsidP="0061795F">
            <w:pPr>
              <w:pStyle w:val="ListParagraph"/>
              <w:numPr>
                <w:ilvl w:val="0"/>
                <w:numId w:val="25"/>
              </w:numPr>
              <w:ind w:left="158" w:hanging="187"/>
            </w:pPr>
            <w:proofErr w:type="gramStart"/>
            <w:r w:rsidRPr="00DE1573">
              <w:t>all</w:t>
            </w:r>
            <w:proofErr w:type="gramEnd"/>
            <w:r w:rsidRPr="00DE1573">
              <w:t xml:space="preserve"> other evidence located in the claims folder or identified by the Veteran</w:t>
            </w:r>
            <w:r w:rsidR="00374303" w:rsidRPr="00DE1573">
              <w:t xml:space="preserve"> relevant to the determination of asbestos exposure</w:t>
            </w:r>
            <w:r w:rsidRPr="00DE1573">
              <w:t>.</w:t>
            </w:r>
          </w:p>
          <w:p w14:paraId="6598F2AB" w14:textId="77777777" w:rsidR="00B46AEA" w:rsidRPr="00DE1573" w:rsidRDefault="00B46AEA" w:rsidP="00B46AEA"/>
          <w:p w14:paraId="4B2EBABD" w14:textId="00D3E835" w:rsidR="00B46AEA" w:rsidRPr="00DE1573" w:rsidRDefault="00B46AEA" w:rsidP="00B46AEA">
            <w:r w:rsidRPr="00DE1573">
              <w:rPr>
                <w:b/>
                <w:i/>
              </w:rPr>
              <w:t>Note</w:t>
            </w:r>
            <w:r w:rsidRPr="00DE1573">
              <w:t xml:space="preserve">:  The term </w:t>
            </w:r>
            <w:r w:rsidRPr="00DE1573">
              <w:rPr>
                <w:b/>
                <w:i/>
              </w:rPr>
              <w:t>credibility</w:t>
            </w:r>
            <w:r w:rsidR="00374303" w:rsidRPr="00DE1573">
              <w:t xml:space="preserve"> </w:t>
            </w:r>
            <w:r w:rsidRPr="00DE1573">
              <w:t>refer</w:t>
            </w:r>
            <w:r w:rsidR="00374303" w:rsidRPr="00DE1573">
              <w:t>s</w:t>
            </w:r>
            <w:r w:rsidRPr="00DE1573">
              <w:t xml:space="preserve"> to believable evidence that tends to support the Veteran’s assertion based on consideration of plausibility, consistency with other evidence in the case, and source.</w:t>
            </w:r>
            <w:r w:rsidR="00495F56" w:rsidRPr="00DE1573">
              <w:t xml:space="preserve">  Once asbestos exposure has been demonstrated by the evidence of </w:t>
            </w:r>
            <w:r w:rsidR="007E0C4A" w:rsidRPr="00DE1573">
              <w:t>record</w:t>
            </w:r>
            <w:r w:rsidR="00495F56" w:rsidRPr="00DE1573">
              <w:t xml:space="preserve"> </w:t>
            </w:r>
            <w:r w:rsidR="007F388B" w:rsidRPr="00DE1573">
              <w:t>and the evidence contains competent lay or medical evidence of a current diagnosed disability</w:t>
            </w:r>
            <w:r w:rsidR="000F572C" w:rsidRPr="00DE1573">
              <w:t xml:space="preserve"> or persistent or recurrent symptoms of disability</w:t>
            </w:r>
            <w:r w:rsidR="007F388B" w:rsidRPr="00DE1573">
              <w:t xml:space="preserve">, </w:t>
            </w:r>
            <w:r w:rsidR="00495F56" w:rsidRPr="00DE1573">
              <w:t>accept the Veteran’s lay testimony as sufficient evidence of current symptoms or disease that could potentially be related to asbestos exposure for purposes of requesting an examination and medical opinion.</w:t>
            </w:r>
          </w:p>
        </w:tc>
      </w:tr>
    </w:tbl>
    <w:p w14:paraId="18D1B41D" w14:textId="5AC0FDAA" w:rsidR="002D60C8" w:rsidRPr="00DE1573" w:rsidRDefault="002D60C8" w:rsidP="002D60C8">
      <w:pPr>
        <w:tabs>
          <w:tab w:val="left" w:pos="9360"/>
        </w:tabs>
        <w:ind w:left="1714"/>
      </w:pPr>
      <w:r w:rsidRPr="00DE1573">
        <w:rPr>
          <w:u w:val="single"/>
        </w:rPr>
        <w:lastRenderedPageBreak/>
        <w:tab/>
      </w:r>
    </w:p>
    <w:p w14:paraId="4B536072" w14:textId="77777777" w:rsidR="002D60C8" w:rsidRPr="00DE1573" w:rsidRDefault="002D60C8" w:rsidP="002D60C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84174F" w:rsidRPr="00DE1573" w14:paraId="12D06174" w14:textId="77777777" w:rsidTr="0084174F">
        <w:tc>
          <w:tcPr>
            <w:tcW w:w="1728" w:type="dxa"/>
            <w:shd w:val="clear" w:color="auto" w:fill="auto"/>
          </w:tcPr>
          <w:p w14:paraId="0A5DC398" w14:textId="3BFADC42" w:rsidR="0084174F" w:rsidRPr="00DE1573" w:rsidRDefault="002D60C8" w:rsidP="00256306">
            <w:pPr>
              <w:rPr>
                <w:b/>
                <w:sz w:val="22"/>
              </w:rPr>
            </w:pPr>
            <w:r w:rsidRPr="00DE1573">
              <w:rPr>
                <w:b/>
                <w:sz w:val="22"/>
              </w:rPr>
              <w:t>f</w:t>
            </w:r>
            <w:r w:rsidR="0084174F" w:rsidRPr="00DE1573">
              <w:rPr>
                <w:b/>
                <w:sz w:val="22"/>
              </w:rPr>
              <w:t>.  Requesting an Examination</w:t>
            </w:r>
            <w:r w:rsidR="00CF0084" w:rsidRPr="00DE1573">
              <w:rPr>
                <w:b/>
                <w:sz w:val="22"/>
              </w:rPr>
              <w:t xml:space="preserve"> and Opinion</w:t>
            </w:r>
            <w:r w:rsidR="0084174F" w:rsidRPr="00DE1573">
              <w:rPr>
                <w:b/>
                <w:sz w:val="22"/>
              </w:rPr>
              <w:t xml:space="preserve"> for Claims Based on Asbestos Exposure</w:t>
            </w:r>
          </w:p>
        </w:tc>
        <w:tc>
          <w:tcPr>
            <w:tcW w:w="7740" w:type="dxa"/>
            <w:shd w:val="clear" w:color="auto" w:fill="auto"/>
          </w:tcPr>
          <w:p w14:paraId="4A2544E2" w14:textId="4BEC3811" w:rsidR="00B46AEA" w:rsidRPr="00DE1573" w:rsidRDefault="00B46AEA">
            <w:r w:rsidRPr="00DE1573">
              <w:t>Use the table below in deter</w:t>
            </w:r>
            <w:r w:rsidR="00374303" w:rsidRPr="00DE1573">
              <w:t>mining the actions to take, to include when to request an examination and medical opinion,</w:t>
            </w:r>
            <w:r w:rsidRPr="00DE1573">
              <w:t xml:space="preserve"> following review of the evidence in the claims folder.</w:t>
            </w:r>
          </w:p>
        </w:tc>
      </w:tr>
    </w:tbl>
    <w:p w14:paraId="0B304F9A" w14:textId="3163F5A5" w:rsidR="0084174F" w:rsidRPr="00DE1573" w:rsidRDefault="0084174F" w:rsidP="00256306"/>
    <w:tbl>
      <w:tblPr>
        <w:tblStyle w:val="TableGrid"/>
        <w:tblW w:w="0" w:type="auto"/>
        <w:tblInd w:w="1818" w:type="dxa"/>
        <w:tblLook w:val="04A0" w:firstRow="1" w:lastRow="0" w:firstColumn="1" w:lastColumn="0" w:noHBand="0" w:noVBand="1"/>
      </w:tblPr>
      <w:tblGrid>
        <w:gridCol w:w="2970"/>
        <w:gridCol w:w="4788"/>
      </w:tblGrid>
      <w:tr w:rsidR="00B46AEA" w:rsidRPr="00DE1573" w14:paraId="52F99A95" w14:textId="77777777" w:rsidTr="009A6BE8">
        <w:tc>
          <w:tcPr>
            <w:tcW w:w="2970" w:type="dxa"/>
          </w:tcPr>
          <w:p w14:paraId="42881FCE" w14:textId="77F3C42B" w:rsidR="00B46AEA" w:rsidRPr="00DE1573" w:rsidRDefault="009B1B96" w:rsidP="0015443B">
            <w:r w:rsidRPr="00DE1573">
              <w:rPr>
                <w:b/>
              </w:rPr>
              <w:t>If the Veteran’s claims folder</w:t>
            </w:r>
            <w:r w:rsidR="0015443B" w:rsidRPr="00DE1573">
              <w:rPr>
                <w:b/>
              </w:rPr>
              <w:t xml:space="preserve"> contains evidence of a current disability and</w:t>
            </w:r>
            <w:r w:rsidR="009A6BE8" w:rsidRPr="00DE1573">
              <w:rPr>
                <w:b/>
              </w:rPr>
              <w:t>…</w:t>
            </w:r>
          </w:p>
        </w:tc>
        <w:tc>
          <w:tcPr>
            <w:tcW w:w="4788" w:type="dxa"/>
          </w:tcPr>
          <w:p w14:paraId="7B38F41B" w14:textId="18268981" w:rsidR="00B46AEA" w:rsidRPr="00DE1573" w:rsidRDefault="009B1B96" w:rsidP="00B46AEA">
            <w:r w:rsidRPr="00DE1573">
              <w:rPr>
                <w:b/>
              </w:rPr>
              <w:t>Then ...</w:t>
            </w:r>
          </w:p>
        </w:tc>
      </w:tr>
      <w:tr w:rsidR="00B46AEA" w:rsidRPr="00DE1573" w14:paraId="7C0DD38E" w14:textId="77777777" w:rsidTr="009A6BE8">
        <w:tc>
          <w:tcPr>
            <w:tcW w:w="2970" w:type="dxa"/>
          </w:tcPr>
          <w:p w14:paraId="4CAC19D3" w14:textId="0B9B4E89" w:rsidR="00B46AEA" w:rsidRPr="00DE1573" w:rsidRDefault="009B1B96" w:rsidP="008763FE">
            <w:r w:rsidRPr="00DE1573">
              <w:t>demonstrates asbestos exposure</w:t>
            </w:r>
          </w:p>
        </w:tc>
        <w:tc>
          <w:tcPr>
            <w:tcW w:w="4788" w:type="dxa"/>
          </w:tcPr>
          <w:p w14:paraId="00F19D00" w14:textId="77777777" w:rsidR="009B1B96" w:rsidRPr="00DE1573" w:rsidRDefault="009B1B96" w:rsidP="0061795F">
            <w:pPr>
              <w:pStyle w:val="ListParagraph"/>
              <w:numPr>
                <w:ilvl w:val="0"/>
                <w:numId w:val="26"/>
              </w:numPr>
              <w:ind w:left="158" w:hanging="187"/>
            </w:pPr>
            <w:r w:rsidRPr="00DE1573">
              <w:t>do not continue to develop for additional records to verify asbestos exposure</w:t>
            </w:r>
          </w:p>
          <w:p w14:paraId="5020BA61" w14:textId="6B8A18D6" w:rsidR="009B1B96" w:rsidRPr="00DE1573" w:rsidRDefault="009B1B96" w:rsidP="0061795F">
            <w:pPr>
              <w:pStyle w:val="ListParagraph"/>
              <w:numPr>
                <w:ilvl w:val="0"/>
                <w:numId w:val="27"/>
              </w:numPr>
              <w:ind w:left="158" w:hanging="187"/>
            </w:pPr>
            <w:r w:rsidRPr="00DE1573">
              <w:t xml:space="preserve">request an examination with </w:t>
            </w:r>
            <w:r w:rsidR="00374303" w:rsidRPr="00DE1573">
              <w:t xml:space="preserve">medical opinion </w:t>
            </w:r>
            <w:r w:rsidRPr="00DE1573">
              <w:t>using the Examination Request Builder (</w:t>
            </w:r>
            <w:r w:rsidR="007E0C4A" w:rsidRPr="00DE1573">
              <w:t>ERB</w:t>
            </w:r>
            <w:r w:rsidRPr="00DE1573">
              <w:t>), and</w:t>
            </w:r>
          </w:p>
          <w:p w14:paraId="129AE99E" w14:textId="77777777" w:rsidR="009B1B96" w:rsidRPr="00DE1573" w:rsidRDefault="009B1B96" w:rsidP="0061795F">
            <w:pPr>
              <w:pStyle w:val="ListParagraph"/>
              <w:numPr>
                <w:ilvl w:val="0"/>
                <w:numId w:val="27"/>
              </w:numPr>
              <w:ind w:left="158" w:hanging="187"/>
            </w:pPr>
            <w:proofErr w:type="gramStart"/>
            <w:r w:rsidRPr="00DE1573">
              <w:t>refer</w:t>
            </w:r>
            <w:proofErr w:type="gramEnd"/>
            <w:r w:rsidRPr="00DE1573">
              <w:t xml:space="preserve"> the claim to the rating activity for a decision upon receipt of the requested examination.</w:t>
            </w:r>
          </w:p>
          <w:p w14:paraId="5C011130" w14:textId="77777777" w:rsidR="009B1B96" w:rsidRPr="00DE1573" w:rsidRDefault="009B1B96" w:rsidP="009B1B96"/>
          <w:p w14:paraId="2FFD4085" w14:textId="77777777" w:rsidR="009B1B96" w:rsidRPr="00DE1573" w:rsidRDefault="009B1B96" w:rsidP="009B1B96">
            <w:r w:rsidRPr="00DE1573">
              <w:rPr>
                <w:b/>
                <w:i/>
              </w:rPr>
              <w:t>Notes</w:t>
            </w:r>
            <w:r w:rsidRPr="00DE1573">
              <w:t xml:space="preserve">:  </w:t>
            </w:r>
          </w:p>
          <w:p w14:paraId="21A0FF3E" w14:textId="4FD47CAA" w:rsidR="009B1B96" w:rsidRPr="00DE1573" w:rsidRDefault="009B1B96" w:rsidP="0061795F">
            <w:pPr>
              <w:pStyle w:val="ListParagraph"/>
              <w:numPr>
                <w:ilvl w:val="0"/>
                <w:numId w:val="30"/>
              </w:numPr>
              <w:ind w:left="158" w:hanging="187"/>
            </w:pPr>
            <w:r w:rsidRPr="00DE1573">
              <w:t>When selecting a respiratory examination in ERB, a system prompt will be generated as to whether examination is being scheduled based on a Navy Veteran and asbestos exposure.  If</w:t>
            </w:r>
            <w:r w:rsidR="004212DD" w:rsidRPr="00DE1573">
              <w:t xml:space="preserve"> asbestos exposure is conceded</w:t>
            </w:r>
            <w:r w:rsidRPr="00DE1573">
              <w:t xml:space="preserve"> based on MOS, select yes and pick the Veteran’s MOS, which will then generate the </w:t>
            </w:r>
            <w:r w:rsidRPr="00DE1573">
              <w:lastRenderedPageBreak/>
              <w:t>exposure probability.</w:t>
            </w:r>
          </w:p>
          <w:p w14:paraId="386CA798" w14:textId="77777777" w:rsidR="009B1B96" w:rsidRPr="00DE1573" w:rsidRDefault="009B1B96" w:rsidP="0061795F">
            <w:pPr>
              <w:pStyle w:val="ListParagraph"/>
              <w:numPr>
                <w:ilvl w:val="0"/>
                <w:numId w:val="23"/>
              </w:numPr>
              <w:ind w:left="158" w:hanging="187"/>
            </w:pPr>
            <w:r w:rsidRPr="00DE1573">
              <w:t>Additional evidence should be tabbed to identify all records the examiner should review in making a medical opinion.</w:t>
            </w:r>
          </w:p>
          <w:p w14:paraId="3B66434B" w14:textId="77777777" w:rsidR="009B1B96" w:rsidRPr="00DE1573" w:rsidRDefault="009B1B96" w:rsidP="0061795F">
            <w:pPr>
              <w:pStyle w:val="ListParagraph"/>
              <w:numPr>
                <w:ilvl w:val="0"/>
                <w:numId w:val="24"/>
              </w:numPr>
              <w:ind w:left="158" w:hanging="187"/>
            </w:pPr>
            <w:r w:rsidRPr="00DE1573">
              <w:t>While the ERB indicates exposure based on a Navy Veteran, the asbestos guidance contained in this topic applies to all branches of service.</w:t>
            </w:r>
          </w:p>
          <w:p w14:paraId="01678960" w14:textId="5D305C40" w:rsidR="00B46AEA" w:rsidRPr="00DE1573" w:rsidRDefault="009B1B96" w:rsidP="0061795F">
            <w:pPr>
              <w:pStyle w:val="ListParagraph"/>
              <w:numPr>
                <w:ilvl w:val="0"/>
                <w:numId w:val="31"/>
              </w:numPr>
              <w:ind w:left="158" w:hanging="187"/>
            </w:pPr>
            <w:r w:rsidRPr="00DE1573">
              <w:t>Ensure that the examination request states all applicable information as to asbestos exposure to include the Veteran’s MOS(s) and probability of asbestos exposure.</w:t>
            </w:r>
          </w:p>
        </w:tc>
      </w:tr>
      <w:tr w:rsidR="00B46AEA" w:rsidRPr="00DE1573" w14:paraId="43B8EB5B" w14:textId="77777777" w:rsidTr="009A6BE8">
        <w:tc>
          <w:tcPr>
            <w:tcW w:w="2970" w:type="dxa"/>
          </w:tcPr>
          <w:p w14:paraId="3979EAD2" w14:textId="25BF6A17" w:rsidR="00B46AEA" w:rsidRPr="00DE1573" w:rsidRDefault="009B1B96">
            <w:r w:rsidRPr="00DE1573">
              <w:lastRenderedPageBreak/>
              <w:t>does not demonstrate asbestos exposure</w:t>
            </w:r>
          </w:p>
        </w:tc>
        <w:tc>
          <w:tcPr>
            <w:tcW w:w="4788" w:type="dxa"/>
          </w:tcPr>
          <w:p w14:paraId="33529466" w14:textId="77777777" w:rsidR="009B1B96" w:rsidRPr="00DE1573" w:rsidRDefault="009B1B96" w:rsidP="0061795F">
            <w:pPr>
              <w:pStyle w:val="ListParagraph"/>
              <w:numPr>
                <w:ilvl w:val="0"/>
                <w:numId w:val="28"/>
              </w:numPr>
              <w:ind w:left="158" w:hanging="187"/>
            </w:pPr>
            <w:r w:rsidRPr="00DE1573">
              <w:t>ensure that the development procedures detailed at M21-1, Part IV, Subpart ii, 1.I.3.d have been completed</w:t>
            </w:r>
          </w:p>
          <w:p w14:paraId="0213E506" w14:textId="77777777" w:rsidR="009B1B96" w:rsidRPr="00DE1573" w:rsidRDefault="009B1B96" w:rsidP="0061795F">
            <w:pPr>
              <w:pStyle w:val="ListParagraph"/>
              <w:numPr>
                <w:ilvl w:val="0"/>
                <w:numId w:val="28"/>
              </w:numPr>
              <w:ind w:left="158" w:hanging="187"/>
            </w:pPr>
            <w:r w:rsidRPr="00DE1573">
              <w:t>review any evidence received as a result of the development for any evidence of asbestos exposure to include personnel records and information on the MOS(s) the Veteran performed in service, and</w:t>
            </w:r>
          </w:p>
          <w:p w14:paraId="5045D419" w14:textId="77777777" w:rsidR="009B1B96" w:rsidRPr="00DE1573" w:rsidRDefault="009B1B96" w:rsidP="0061795F">
            <w:pPr>
              <w:pStyle w:val="ListParagraph"/>
              <w:numPr>
                <w:ilvl w:val="0"/>
                <w:numId w:val="28"/>
              </w:numPr>
              <w:ind w:left="158" w:hanging="187"/>
            </w:pPr>
            <w:r w:rsidRPr="00DE1573">
              <w:t>if exposure is shown as demonstrated by an MOS with a MINIMAL or higher indicator of probability of asbestos exposure or based on other evidence of exposure, request an examination with medical opinion and send to the rating activity following receipt of the requested examination, or</w:t>
            </w:r>
          </w:p>
          <w:p w14:paraId="15323F73" w14:textId="3B55B026" w:rsidR="00B46AEA" w:rsidRPr="00DE1573" w:rsidRDefault="009B1B96" w:rsidP="0061795F">
            <w:pPr>
              <w:pStyle w:val="ListParagraph"/>
              <w:numPr>
                <w:ilvl w:val="0"/>
                <w:numId w:val="29"/>
              </w:numPr>
              <w:ind w:left="158" w:hanging="187"/>
            </w:pPr>
            <w:proofErr w:type="gramStart"/>
            <w:r w:rsidRPr="00DE1573">
              <w:t>if</w:t>
            </w:r>
            <w:proofErr w:type="gramEnd"/>
            <w:r w:rsidRPr="00DE1573">
              <w:t xml:space="preserve"> exposure is not shown as indicated by lack of evidence demonstrating at least a MINIMAL indicator of probability of asbestos exposure based on MOS and other evidence does not establish asbestos exposure, refer the claims folder to the rating activity</w:t>
            </w:r>
            <w:r w:rsidR="004212DD" w:rsidRPr="00DE1573">
              <w:t xml:space="preserve"> for a decision</w:t>
            </w:r>
            <w:r w:rsidRPr="00DE1573">
              <w:t xml:space="preserve"> without requesting an examination.   </w:t>
            </w:r>
          </w:p>
        </w:tc>
      </w:tr>
    </w:tbl>
    <w:p w14:paraId="0E19CFC7" w14:textId="430CA9A6" w:rsidR="00256306" w:rsidRPr="00DE1573" w:rsidRDefault="000A7155" w:rsidP="000A7155">
      <w:pPr>
        <w:tabs>
          <w:tab w:val="left" w:pos="9360"/>
        </w:tabs>
        <w:ind w:left="1714"/>
      </w:pPr>
      <w:r w:rsidRPr="00DE1573">
        <w:rPr>
          <w:u w:val="single"/>
        </w:rPr>
        <w:tab/>
      </w:r>
    </w:p>
    <w:p w14:paraId="57D51E9E" w14:textId="26048105" w:rsidR="000A7155" w:rsidRPr="00DE1573" w:rsidRDefault="000A7155" w:rsidP="000A7155">
      <w:pPr>
        <w:ind w:left="1714"/>
      </w:pPr>
    </w:p>
    <w:p w14:paraId="15D66CB1" w14:textId="77777777" w:rsidR="000A7155" w:rsidRPr="00DE1573" w:rsidRDefault="000A7155" w:rsidP="000A7155"/>
    <w:p w14:paraId="5DB88979" w14:textId="77777777" w:rsidR="00256306" w:rsidRPr="00DE1573" w:rsidRDefault="00256306" w:rsidP="00256306"/>
    <w:p w14:paraId="5E7D0D41" w14:textId="77777777" w:rsidR="00EC6216" w:rsidRPr="00DE1573" w:rsidRDefault="00EC6216" w:rsidP="00EC6216">
      <w:pPr>
        <w:pStyle w:val="VBAbodytext"/>
        <w:rPr>
          <w:szCs w:val="24"/>
        </w:rPr>
      </w:pPr>
    </w:p>
    <w:p w14:paraId="4D74C095" w14:textId="77777777" w:rsidR="00406A53" w:rsidRPr="00DE1573" w:rsidRDefault="00406A53" w:rsidP="00EC6216">
      <w:pPr>
        <w:pStyle w:val="Heading4"/>
      </w:pPr>
    </w:p>
    <w:p w14:paraId="7B77C62D" w14:textId="77777777" w:rsidR="00EC6216" w:rsidRPr="00DE1573" w:rsidRDefault="00EC6216" w:rsidP="00EC6216"/>
    <w:p w14:paraId="319F6ECA" w14:textId="198A3D94" w:rsidR="005D07EB" w:rsidRPr="00DE1573" w:rsidRDefault="005D07EB" w:rsidP="00EC6216">
      <w:pPr>
        <w:pStyle w:val="Heading4"/>
      </w:pPr>
      <w:r w:rsidRPr="00DE1573">
        <w:br w:type="page"/>
      </w:r>
      <w:r w:rsidR="00327641" w:rsidRPr="00DE1573">
        <w:lastRenderedPageBreak/>
        <w:t>4</w:t>
      </w:r>
      <w:r w:rsidRPr="00DE1573">
        <w:t>.  Developing Claims for SC for AIDS</w:t>
      </w:r>
    </w:p>
    <w:p w14:paraId="319F6ECB" w14:textId="445E78FB"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D4" w14:textId="77777777">
        <w:trPr>
          <w:cantSplit/>
        </w:trPr>
        <w:tc>
          <w:tcPr>
            <w:tcW w:w="1728" w:type="dxa"/>
          </w:tcPr>
          <w:p w14:paraId="319F6ECC" w14:textId="77777777" w:rsidR="005D07EB" w:rsidRPr="00DE1573" w:rsidRDefault="005D07EB">
            <w:pPr>
              <w:pStyle w:val="Heading5"/>
            </w:pPr>
            <w:r w:rsidRPr="00DE1573">
              <w:t>Introduction</w:t>
            </w:r>
          </w:p>
        </w:tc>
        <w:tc>
          <w:tcPr>
            <w:tcW w:w="7740" w:type="dxa"/>
          </w:tcPr>
          <w:p w14:paraId="319F6ECD" w14:textId="06A7D230" w:rsidR="005D07EB" w:rsidRPr="00DE1573" w:rsidRDefault="005D07EB">
            <w:pPr>
              <w:pStyle w:val="BlockText"/>
            </w:pPr>
            <w:r w:rsidRPr="00DE1573">
              <w:t xml:space="preserve">This topic contains information on developing claims for </w:t>
            </w:r>
            <w:r w:rsidR="009D2FD4" w:rsidRPr="00DE1573">
              <w:t>SC</w:t>
            </w:r>
            <w:r w:rsidRPr="00DE1573">
              <w:t xml:space="preserve"> for AIDS</w:t>
            </w:r>
            <w:r w:rsidRPr="00DE1573">
              <w:rPr>
                <w:bCs/>
              </w:rPr>
              <w:t>, including</w:t>
            </w:r>
            <w:r w:rsidRPr="00DE1573">
              <w:t xml:space="preserve"> </w:t>
            </w:r>
          </w:p>
          <w:p w14:paraId="319F6ECE" w14:textId="77777777" w:rsidR="005D07EB" w:rsidRPr="00DE1573" w:rsidRDefault="005D07EB">
            <w:pPr>
              <w:pStyle w:val="BlockText"/>
            </w:pPr>
          </w:p>
          <w:p w14:paraId="319F6ECF" w14:textId="3D97FF68" w:rsidR="005D07EB" w:rsidRPr="00DE1573" w:rsidRDefault="005D07EB">
            <w:pPr>
              <w:pStyle w:val="BulletText1"/>
            </w:pPr>
            <w:r w:rsidRPr="00DE1573">
              <w:t>definition of AIDS</w:t>
            </w:r>
          </w:p>
          <w:p w14:paraId="319F6ED0" w14:textId="0B2E03F0" w:rsidR="005D07EB" w:rsidRPr="00DE1573" w:rsidRDefault="005D07EB">
            <w:pPr>
              <w:pStyle w:val="BulletText1"/>
            </w:pPr>
            <w:r w:rsidRPr="00DE1573">
              <w:t>causative agent of AIDS</w:t>
            </w:r>
          </w:p>
          <w:p w14:paraId="319F6ED1" w14:textId="7F59C8C7" w:rsidR="005D07EB" w:rsidRPr="00DE1573" w:rsidRDefault="005D07EB">
            <w:pPr>
              <w:pStyle w:val="BulletText1"/>
            </w:pPr>
            <w:r w:rsidRPr="00DE1573">
              <w:t>tests available to verify AIDS</w:t>
            </w:r>
          </w:p>
          <w:p w14:paraId="319F6ED2" w14:textId="5231D034" w:rsidR="005D07EB" w:rsidRPr="00DE1573" w:rsidRDefault="005D07EB">
            <w:pPr>
              <w:pStyle w:val="BulletText1"/>
            </w:pPr>
            <w:r w:rsidRPr="00DE1573">
              <w:t>obtaining medical records</w:t>
            </w:r>
            <w:r w:rsidR="00E05A3B" w:rsidRPr="00DE1573">
              <w:t xml:space="preserve"> showing treatment of AIDS</w:t>
            </w:r>
            <w:r w:rsidRPr="00DE1573">
              <w:t>, and</w:t>
            </w:r>
          </w:p>
          <w:p w14:paraId="319F6ED3" w14:textId="77777777" w:rsidR="005D07EB" w:rsidRPr="00DE1573" w:rsidRDefault="005D07EB">
            <w:pPr>
              <w:pStyle w:val="BulletText1"/>
            </w:pPr>
            <w:proofErr w:type="gramStart"/>
            <w:r w:rsidRPr="00DE1573">
              <w:t>when</w:t>
            </w:r>
            <w:proofErr w:type="gramEnd"/>
            <w:r w:rsidRPr="00DE1573">
              <w:t xml:space="preserve"> to send the claim to the rating activity.</w:t>
            </w:r>
          </w:p>
        </w:tc>
      </w:tr>
    </w:tbl>
    <w:p w14:paraId="319F6ED5" w14:textId="77777777"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D8" w14:textId="77777777">
        <w:trPr>
          <w:cantSplit/>
        </w:trPr>
        <w:tc>
          <w:tcPr>
            <w:tcW w:w="1728" w:type="dxa"/>
          </w:tcPr>
          <w:p w14:paraId="319F6ED6" w14:textId="77777777" w:rsidR="005D07EB" w:rsidRPr="00DE1573" w:rsidRDefault="005D07EB">
            <w:pPr>
              <w:pStyle w:val="Heading5"/>
            </w:pPr>
            <w:r w:rsidRPr="00DE1573">
              <w:t>Change Date</w:t>
            </w:r>
          </w:p>
        </w:tc>
        <w:tc>
          <w:tcPr>
            <w:tcW w:w="7740" w:type="dxa"/>
          </w:tcPr>
          <w:p w14:paraId="319F6ED7" w14:textId="64D3E32E" w:rsidR="005D07EB" w:rsidRPr="00DE1573" w:rsidRDefault="00F35F0E">
            <w:pPr>
              <w:pStyle w:val="BlockText"/>
            </w:pPr>
            <w:r w:rsidRPr="00DE1573">
              <w:t>August 7</w:t>
            </w:r>
            <w:r w:rsidR="00321A50" w:rsidRPr="00DE1573">
              <w:t>, 2015</w:t>
            </w:r>
          </w:p>
        </w:tc>
      </w:tr>
    </w:tbl>
    <w:p w14:paraId="319F6ED9" w14:textId="34010DD1"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DC" w14:textId="77777777">
        <w:trPr>
          <w:cantSplit/>
        </w:trPr>
        <w:tc>
          <w:tcPr>
            <w:tcW w:w="1728" w:type="dxa"/>
          </w:tcPr>
          <w:p w14:paraId="319F6EDA" w14:textId="77777777" w:rsidR="005D07EB" w:rsidRPr="00DE1573" w:rsidRDefault="005D07EB">
            <w:pPr>
              <w:pStyle w:val="Heading5"/>
            </w:pPr>
            <w:proofErr w:type="gramStart"/>
            <w:r w:rsidRPr="00DE1573">
              <w:t>a.  Definition</w:t>
            </w:r>
            <w:proofErr w:type="gramEnd"/>
            <w:r w:rsidRPr="00DE1573">
              <w:t>:  AIDS</w:t>
            </w:r>
          </w:p>
        </w:tc>
        <w:tc>
          <w:tcPr>
            <w:tcW w:w="7740" w:type="dxa"/>
          </w:tcPr>
          <w:p w14:paraId="319F6EDB" w14:textId="77777777" w:rsidR="005D07EB" w:rsidRPr="00DE1573" w:rsidRDefault="005D07EB">
            <w:pPr>
              <w:pStyle w:val="BlockText"/>
            </w:pPr>
            <w:r w:rsidRPr="00DE1573">
              <w:rPr>
                <w:b/>
                <w:i/>
              </w:rPr>
              <w:t>Acquired immune deficiency syndrome (AIDS)</w:t>
            </w:r>
            <w:r w:rsidRPr="00DE1573">
              <w:t xml:space="preserve"> is defined by the Centers for Disease Control (CDC) as “a disease at least moderately predictive of a defect in cell-mediated immunity occurring in a person with no known cause for diminished resistance to that disease.”  </w:t>
            </w:r>
          </w:p>
        </w:tc>
      </w:tr>
    </w:tbl>
    <w:p w14:paraId="319F6EDD" w14:textId="277BE36B"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E0" w14:textId="77777777">
        <w:trPr>
          <w:cantSplit/>
        </w:trPr>
        <w:tc>
          <w:tcPr>
            <w:tcW w:w="1728" w:type="dxa"/>
          </w:tcPr>
          <w:p w14:paraId="319F6EDE" w14:textId="77777777" w:rsidR="005D07EB" w:rsidRPr="00DE1573" w:rsidRDefault="005D07EB">
            <w:pPr>
              <w:pStyle w:val="Heading5"/>
            </w:pPr>
            <w:proofErr w:type="gramStart"/>
            <w:r w:rsidRPr="00DE1573">
              <w:t>b.  Causative</w:t>
            </w:r>
            <w:proofErr w:type="gramEnd"/>
            <w:r w:rsidRPr="00DE1573">
              <w:t xml:space="preserve"> Agent of AIDS</w:t>
            </w:r>
          </w:p>
        </w:tc>
        <w:tc>
          <w:tcPr>
            <w:tcW w:w="7740" w:type="dxa"/>
          </w:tcPr>
          <w:p w14:paraId="319F6EDF" w14:textId="77777777" w:rsidR="005D07EB" w:rsidRPr="00DE1573" w:rsidRDefault="005D07EB">
            <w:pPr>
              <w:pStyle w:val="BlockText"/>
            </w:pPr>
            <w:r w:rsidRPr="00DE1573">
              <w:t>AIDS is caused by the human immunodeficiency virus (HIV).</w:t>
            </w:r>
          </w:p>
        </w:tc>
      </w:tr>
    </w:tbl>
    <w:p w14:paraId="319F6EE1" w14:textId="56D04734"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E9" w14:textId="77777777">
        <w:trPr>
          <w:cantSplit/>
        </w:trPr>
        <w:tc>
          <w:tcPr>
            <w:tcW w:w="1728" w:type="dxa"/>
          </w:tcPr>
          <w:p w14:paraId="319F6EE2" w14:textId="77777777" w:rsidR="005D07EB" w:rsidRPr="00DE1573" w:rsidRDefault="005D07EB">
            <w:pPr>
              <w:pStyle w:val="Heading5"/>
            </w:pPr>
            <w:proofErr w:type="gramStart"/>
            <w:r w:rsidRPr="00DE1573">
              <w:t>c.  Tests</w:t>
            </w:r>
            <w:proofErr w:type="gramEnd"/>
            <w:r w:rsidRPr="00DE1573">
              <w:t xml:space="preserve"> Available to Verify AIDS</w:t>
            </w:r>
          </w:p>
        </w:tc>
        <w:tc>
          <w:tcPr>
            <w:tcW w:w="7740" w:type="dxa"/>
          </w:tcPr>
          <w:p w14:paraId="319F6EE3" w14:textId="77777777" w:rsidR="005D07EB" w:rsidRPr="00DE1573" w:rsidRDefault="005D07EB">
            <w:pPr>
              <w:pStyle w:val="BlockText"/>
            </w:pPr>
            <w:r w:rsidRPr="00DE1573">
              <w:t xml:space="preserve">The most commonly used lab test for AIDS is the HIV antibody test.  </w:t>
            </w:r>
          </w:p>
          <w:p w14:paraId="319F6EE4" w14:textId="77777777" w:rsidR="005D07EB" w:rsidRPr="00DE1573" w:rsidRDefault="005D07EB">
            <w:pPr>
              <w:pStyle w:val="BlockText"/>
            </w:pPr>
          </w:p>
          <w:p w14:paraId="319F6EE5" w14:textId="0F486CBC" w:rsidR="005D07EB" w:rsidRPr="00DE1573" w:rsidRDefault="005D07EB">
            <w:pPr>
              <w:pStyle w:val="BlockText"/>
            </w:pPr>
            <w:r w:rsidRPr="00DE1573">
              <w:t>The following two HIV antibody tests are available</w:t>
            </w:r>
          </w:p>
          <w:p w14:paraId="319F6EE6" w14:textId="77777777" w:rsidR="005D07EB" w:rsidRPr="00DE1573" w:rsidRDefault="005D07EB">
            <w:pPr>
              <w:pStyle w:val="BlockText"/>
            </w:pPr>
          </w:p>
          <w:p w14:paraId="319F6EE7" w14:textId="77777777" w:rsidR="005D07EB" w:rsidRPr="00DE1573" w:rsidRDefault="005D07EB">
            <w:pPr>
              <w:pStyle w:val="BulletText1"/>
            </w:pPr>
            <w:r w:rsidRPr="00DE1573">
              <w:t xml:space="preserve">the screening enzyme-linked immunosorbent assay (ELISA) test, and </w:t>
            </w:r>
          </w:p>
          <w:p w14:paraId="319F6EE8" w14:textId="77777777" w:rsidR="005D07EB" w:rsidRPr="00DE1573" w:rsidRDefault="005D07EB">
            <w:pPr>
              <w:pStyle w:val="BulletText1"/>
            </w:pPr>
            <w:proofErr w:type="gramStart"/>
            <w:r w:rsidRPr="00DE1573">
              <w:t>the</w:t>
            </w:r>
            <w:proofErr w:type="gramEnd"/>
            <w:r w:rsidRPr="00DE1573">
              <w:t xml:space="preserve"> confirmatory Western Blot test.</w:t>
            </w:r>
          </w:p>
        </w:tc>
      </w:tr>
    </w:tbl>
    <w:p w14:paraId="319F6EEC" w14:textId="519844DE"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F7" w14:textId="77777777">
        <w:trPr>
          <w:cantSplit/>
        </w:trPr>
        <w:tc>
          <w:tcPr>
            <w:tcW w:w="1728" w:type="dxa"/>
          </w:tcPr>
          <w:p w14:paraId="319F6EED" w14:textId="444CD26F" w:rsidR="005D07EB" w:rsidRPr="00DE1573" w:rsidRDefault="005D07EB">
            <w:pPr>
              <w:pStyle w:val="Heading5"/>
            </w:pPr>
            <w:proofErr w:type="gramStart"/>
            <w:r w:rsidRPr="00DE1573">
              <w:t>d.  Obtaining</w:t>
            </w:r>
            <w:proofErr w:type="gramEnd"/>
            <w:r w:rsidRPr="00DE1573">
              <w:t xml:space="preserve"> Medical Records</w:t>
            </w:r>
            <w:r w:rsidR="00E05A3B" w:rsidRPr="00DE1573">
              <w:t xml:space="preserve"> Showing Treatment of AIDS</w:t>
            </w:r>
          </w:p>
        </w:tc>
        <w:tc>
          <w:tcPr>
            <w:tcW w:w="7740" w:type="dxa"/>
          </w:tcPr>
          <w:p w14:paraId="319F6EEE" w14:textId="77777777" w:rsidR="005D07EB" w:rsidRPr="00DE1573" w:rsidRDefault="005D07EB">
            <w:pPr>
              <w:pStyle w:val="BlockText"/>
            </w:pPr>
            <w:r w:rsidRPr="00DE1573">
              <w:t xml:space="preserve">Request </w:t>
            </w:r>
          </w:p>
          <w:p w14:paraId="319F6EEF" w14:textId="77777777" w:rsidR="005D07EB" w:rsidRPr="00DE1573" w:rsidRDefault="005D07EB">
            <w:pPr>
              <w:pStyle w:val="BlockText"/>
            </w:pPr>
          </w:p>
          <w:p w14:paraId="319F6EF0" w14:textId="77777777" w:rsidR="005D07EB" w:rsidRPr="00DE1573" w:rsidRDefault="005D07EB">
            <w:pPr>
              <w:pStyle w:val="BulletText1"/>
            </w:pPr>
            <w:r w:rsidRPr="00DE1573">
              <w:t>service treatment records (STRs) if they are not in the claims folder, and</w:t>
            </w:r>
          </w:p>
          <w:p w14:paraId="319F6EF1" w14:textId="77777777" w:rsidR="005D07EB" w:rsidRPr="00DE1573" w:rsidRDefault="005D07EB">
            <w:pPr>
              <w:pStyle w:val="BulletText1"/>
            </w:pPr>
            <w:proofErr w:type="gramStart"/>
            <w:r w:rsidRPr="00DE1573">
              <w:t>records</w:t>
            </w:r>
            <w:proofErr w:type="gramEnd"/>
            <w:r w:rsidRPr="00DE1573">
              <w:t xml:space="preserve"> of treatment from a VAMC or VA outpatient clinic, if the </w:t>
            </w:r>
            <w:r w:rsidR="00C87AE0" w:rsidRPr="00DE1573">
              <w:t>Veteran</w:t>
            </w:r>
            <w:r w:rsidRPr="00DE1573">
              <w:t xml:space="preserve"> indicates that he/she received treatment at one of these facilities.</w:t>
            </w:r>
          </w:p>
          <w:p w14:paraId="319F6EF2" w14:textId="77777777" w:rsidR="005D07EB" w:rsidRPr="00DE1573" w:rsidRDefault="005D07EB">
            <w:pPr>
              <w:pStyle w:val="BlockText"/>
            </w:pPr>
          </w:p>
          <w:p w14:paraId="319F6EF3" w14:textId="2C2F4DD5" w:rsidR="005D07EB" w:rsidRPr="00DE1573" w:rsidRDefault="005D07EB">
            <w:pPr>
              <w:pStyle w:val="BlockText"/>
              <w:rPr>
                <w:szCs w:val="15"/>
              </w:rPr>
            </w:pPr>
            <w:r w:rsidRPr="00DE1573">
              <w:t xml:space="preserve">Send the </w:t>
            </w:r>
            <w:r w:rsidR="00C87AE0" w:rsidRPr="00DE1573">
              <w:t>Veteran</w:t>
            </w:r>
            <w:r w:rsidRPr="00DE1573">
              <w:t xml:space="preserve"> </w:t>
            </w:r>
            <w:r w:rsidRPr="00DE1573">
              <w:rPr>
                <w:i/>
              </w:rPr>
              <w:t xml:space="preserve">VA Form 21-4142 </w:t>
            </w:r>
            <w:r w:rsidRPr="00DE1573">
              <w:rPr>
                <w:szCs w:val="15"/>
              </w:rPr>
              <w:t>if he/she</w:t>
            </w:r>
          </w:p>
          <w:p w14:paraId="319F6EF4" w14:textId="77777777" w:rsidR="005D07EB" w:rsidRPr="00DE1573" w:rsidRDefault="005D07EB">
            <w:pPr>
              <w:pStyle w:val="BlockText"/>
              <w:rPr>
                <w:szCs w:val="15"/>
              </w:rPr>
            </w:pPr>
          </w:p>
          <w:p w14:paraId="319F6EF5" w14:textId="77777777" w:rsidR="005D07EB" w:rsidRPr="00DE1573" w:rsidRDefault="005D07EB">
            <w:pPr>
              <w:pStyle w:val="BulletText1"/>
            </w:pPr>
            <w:r w:rsidRPr="00DE1573">
              <w:t>reports treatment by a private hospital or physician, but</w:t>
            </w:r>
          </w:p>
          <w:p w14:paraId="319F6EF6" w14:textId="77777777" w:rsidR="005D07EB" w:rsidRPr="00DE1573" w:rsidRDefault="005D07EB">
            <w:pPr>
              <w:pStyle w:val="BulletText1"/>
            </w:pPr>
            <w:proofErr w:type="gramStart"/>
            <w:r w:rsidRPr="00DE1573">
              <w:t>does</w:t>
            </w:r>
            <w:proofErr w:type="gramEnd"/>
            <w:r w:rsidRPr="00DE1573">
              <w:t xml:space="preserve"> not furnish the treatment records.</w:t>
            </w:r>
          </w:p>
        </w:tc>
      </w:tr>
    </w:tbl>
    <w:p w14:paraId="319F6EF8" w14:textId="2DC9B1DB"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EFF" w14:textId="77777777" w:rsidTr="006E6101">
        <w:tc>
          <w:tcPr>
            <w:tcW w:w="1728" w:type="dxa"/>
          </w:tcPr>
          <w:p w14:paraId="319F6EF9" w14:textId="77777777" w:rsidR="005D07EB" w:rsidRPr="00DE1573" w:rsidRDefault="005D07EB">
            <w:pPr>
              <w:pStyle w:val="Heading5"/>
            </w:pPr>
            <w:proofErr w:type="gramStart"/>
            <w:r w:rsidRPr="00DE1573">
              <w:t>e.  When</w:t>
            </w:r>
            <w:proofErr w:type="gramEnd"/>
            <w:r w:rsidRPr="00DE1573">
              <w:t xml:space="preserve"> to Send the Claim to the Rating </w:t>
            </w:r>
            <w:r w:rsidRPr="00DE1573">
              <w:lastRenderedPageBreak/>
              <w:t>Activity</w:t>
            </w:r>
          </w:p>
        </w:tc>
        <w:tc>
          <w:tcPr>
            <w:tcW w:w="7740" w:type="dxa"/>
          </w:tcPr>
          <w:p w14:paraId="319F6EFA" w14:textId="77777777" w:rsidR="005D07EB" w:rsidRPr="00DE1573" w:rsidRDefault="005D07EB">
            <w:pPr>
              <w:pStyle w:val="BlockText"/>
            </w:pPr>
            <w:r w:rsidRPr="00DE1573">
              <w:lastRenderedPageBreak/>
              <w:t>If a substantially complete claim exists, send the claim to the rating activity.</w:t>
            </w:r>
          </w:p>
          <w:p w14:paraId="319F6EFB" w14:textId="77777777" w:rsidR="005D07EB" w:rsidRPr="00DE1573" w:rsidRDefault="005D07EB">
            <w:pPr>
              <w:pStyle w:val="BlockText"/>
            </w:pPr>
          </w:p>
          <w:p w14:paraId="319F6EFC" w14:textId="0ED8150A" w:rsidR="005D07EB" w:rsidRPr="00DE1573" w:rsidRDefault="005D07EB">
            <w:pPr>
              <w:pStyle w:val="BlockText"/>
            </w:pPr>
            <w:r w:rsidRPr="00DE1573">
              <w:rPr>
                <w:b/>
                <w:i/>
              </w:rPr>
              <w:t>Reference</w:t>
            </w:r>
            <w:r w:rsidRPr="00DE1573">
              <w:t>:  For</w:t>
            </w:r>
            <w:r w:rsidR="00607532" w:rsidRPr="00DE1573">
              <w:t xml:space="preserve"> more</w:t>
            </w:r>
            <w:r w:rsidRPr="00DE1573">
              <w:t xml:space="preserve"> information on what constitutes a substantially </w:t>
            </w:r>
            <w:r w:rsidRPr="00DE1573">
              <w:lastRenderedPageBreak/>
              <w:t>complete claim, see</w:t>
            </w:r>
          </w:p>
          <w:p w14:paraId="319F6EFD" w14:textId="2B0FFEE2" w:rsidR="005D07EB" w:rsidRPr="00DE1573" w:rsidRDefault="005D07EB">
            <w:pPr>
              <w:pStyle w:val="BulletText1"/>
            </w:pPr>
            <w:r w:rsidRPr="00DE1573">
              <w:t>M21-1, Part I, 1.B.</w:t>
            </w:r>
            <w:r w:rsidR="001D509E" w:rsidRPr="00DE1573">
              <w:t>1.b</w:t>
            </w:r>
            <w:r w:rsidRPr="00DE1573">
              <w:t>, and</w:t>
            </w:r>
          </w:p>
          <w:p w14:paraId="319F6EFE" w14:textId="27094399" w:rsidR="005D07EB" w:rsidRPr="00DE1573" w:rsidRDefault="00D872BE">
            <w:pPr>
              <w:pStyle w:val="BulletText1"/>
            </w:pPr>
            <w:hyperlink r:id="rId26" w:history="1">
              <w:r w:rsidR="00C87AE0" w:rsidRPr="00DE1573">
                <w:rPr>
                  <w:rStyle w:val="Hyperlink"/>
                </w:rPr>
                <w:t>38 CFR</w:t>
              </w:r>
              <w:r w:rsidR="005D07EB" w:rsidRPr="00DE1573">
                <w:rPr>
                  <w:rStyle w:val="Hyperlink"/>
                </w:rPr>
                <w:t xml:space="preserve"> 3.159(a</w:t>
              </w:r>
              <w:proofErr w:type="gramStart"/>
              <w:r w:rsidR="005D07EB" w:rsidRPr="00DE1573">
                <w:rPr>
                  <w:rStyle w:val="Hyperlink"/>
                </w:rPr>
                <w:t>)(</w:t>
              </w:r>
              <w:proofErr w:type="gramEnd"/>
              <w:r w:rsidR="005D07EB" w:rsidRPr="00DE1573">
                <w:rPr>
                  <w:rStyle w:val="Hyperlink"/>
                </w:rPr>
                <w:t>3)</w:t>
              </w:r>
            </w:hyperlink>
            <w:r w:rsidR="005D07EB" w:rsidRPr="00DE1573">
              <w:t>.</w:t>
            </w:r>
          </w:p>
        </w:tc>
      </w:tr>
    </w:tbl>
    <w:p w14:paraId="319F6F00" w14:textId="77777777" w:rsidR="005D07EB" w:rsidRPr="00DE1573" w:rsidRDefault="005D07EB">
      <w:pPr>
        <w:pStyle w:val="BlockLine"/>
      </w:pPr>
    </w:p>
    <w:p w14:paraId="319F6F01" w14:textId="01066FD4" w:rsidR="005D07EB" w:rsidRPr="00DE1573" w:rsidRDefault="005D07EB">
      <w:pPr>
        <w:pStyle w:val="Heading4"/>
      </w:pPr>
      <w:r w:rsidRPr="00DE1573">
        <w:br w:type="page"/>
      </w:r>
      <w:r w:rsidR="00327641" w:rsidRPr="00DE1573">
        <w:lastRenderedPageBreak/>
        <w:t>5</w:t>
      </w:r>
      <w:r w:rsidRPr="00DE1573">
        <w:t>.  Developing Claims Based on Participation in Special Operations Incidents</w:t>
      </w:r>
    </w:p>
    <w:p w14:paraId="319F6F02" w14:textId="0AE65289"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F0C" w14:textId="77777777">
        <w:trPr>
          <w:cantSplit/>
        </w:trPr>
        <w:tc>
          <w:tcPr>
            <w:tcW w:w="1728" w:type="dxa"/>
          </w:tcPr>
          <w:p w14:paraId="319F6F03" w14:textId="77777777" w:rsidR="005D07EB" w:rsidRPr="00DE1573" w:rsidRDefault="005D07EB">
            <w:pPr>
              <w:pStyle w:val="Heading5"/>
            </w:pPr>
            <w:r w:rsidRPr="00DE1573">
              <w:t>Introduction</w:t>
            </w:r>
          </w:p>
        </w:tc>
        <w:tc>
          <w:tcPr>
            <w:tcW w:w="7740" w:type="dxa"/>
          </w:tcPr>
          <w:p w14:paraId="319F6F04" w14:textId="77777777" w:rsidR="005D07EB" w:rsidRPr="00DE1573" w:rsidRDefault="005D07EB">
            <w:pPr>
              <w:pStyle w:val="BlockText"/>
            </w:pPr>
            <w:r w:rsidRPr="00DE1573">
              <w:t>This topic contains information on developing claims based on participation in Special Operations incidents, including</w:t>
            </w:r>
          </w:p>
          <w:p w14:paraId="319F6F05" w14:textId="77777777" w:rsidR="005D07EB" w:rsidRPr="00DE1573" w:rsidRDefault="005D07EB">
            <w:pPr>
              <w:pStyle w:val="BlockText"/>
            </w:pPr>
          </w:p>
          <w:p w14:paraId="319F6F06" w14:textId="32787C25" w:rsidR="005D07EB" w:rsidRPr="00DE1573" w:rsidRDefault="005D07EB">
            <w:pPr>
              <w:pStyle w:val="BulletText1"/>
            </w:pPr>
            <w:r w:rsidRPr="00DE1573">
              <w:t xml:space="preserve">definition of </w:t>
            </w:r>
            <w:r w:rsidRPr="00DE1573">
              <w:rPr>
                <w:bCs/>
                <w:iCs/>
              </w:rPr>
              <w:t>Special Operations</w:t>
            </w:r>
          </w:p>
          <w:p w14:paraId="319F6F07" w14:textId="41D47EBB" w:rsidR="005D07EB" w:rsidRPr="00DE1573" w:rsidRDefault="005D07EB">
            <w:pPr>
              <w:pStyle w:val="BulletText1"/>
            </w:pPr>
            <w:r w:rsidRPr="00DE1573">
              <w:t>developing</w:t>
            </w:r>
            <w:r w:rsidR="001D509E" w:rsidRPr="00DE1573">
              <w:t xml:space="preserve"> claims related to</w:t>
            </w:r>
            <w:r w:rsidRPr="00DE1573">
              <w:t xml:space="preserve"> Special Operations incidents</w:t>
            </w:r>
          </w:p>
          <w:p w14:paraId="319F6F09" w14:textId="76AF8615" w:rsidR="005D07EB" w:rsidRPr="00DE1573" w:rsidRDefault="005D07EB">
            <w:pPr>
              <w:pStyle w:val="BulletText1"/>
            </w:pPr>
            <w:r w:rsidRPr="00DE1573">
              <w:t>example of a “Special Operations Forces Incident” document</w:t>
            </w:r>
          </w:p>
          <w:p w14:paraId="319F6F0A" w14:textId="77777777" w:rsidR="005D07EB" w:rsidRPr="00DE1573" w:rsidRDefault="005D07EB">
            <w:pPr>
              <w:pStyle w:val="BulletText1"/>
            </w:pPr>
            <w:r w:rsidRPr="00DE1573">
              <w:t>responses from the U.S. Special Operations Command (USSOCOM), and</w:t>
            </w:r>
          </w:p>
          <w:p w14:paraId="319F6F0B" w14:textId="77777777" w:rsidR="005D07EB" w:rsidRPr="00DE1573" w:rsidRDefault="005D07EB">
            <w:pPr>
              <w:pStyle w:val="BulletText1"/>
            </w:pPr>
            <w:proofErr w:type="gramStart"/>
            <w:r w:rsidRPr="00DE1573">
              <w:t>classified</w:t>
            </w:r>
            <w:proofErr w:type="gramEnd"/>
            <w:r w:rsidRPr="00DE1573">
              <w:t xml:space="preserve"> service records</w:t>
            </w:r>
            <w:r w:rsidR="008148FB" w:rsidRPr="00DE1573">
              <w:t xml:space="preserve"> received from USSOCOM</w:t>
            </w:r>
            <w:r w:rsidRPr="00DE1573">
              <w:t>.</w:t>
            </w:r>
          </w:p>
        </w:tc>
      </w:tr>
    </w:tbl>
    <w:p w14:paraId="319F6F0D" w14:textId="77777777" w:rsidR="005D07EB" w:rsidRPr="00DE1573" w:rsidRDefault="005D07EB">
      <w:pPr>
        <w:pStyle w:val="BlockLine"/>
      </w:pPr>
      <w:r w:rsidRPr="00DE1573">
        <w:t xml:space="preserve"> </w:t>
      </w:r>
    </w:p>
    <w:tbl>
      <w:tblPr>
        <w:tblW w:w="0" w:type="auto"/>
        <w:tblLayout w:type="fixed"/>
        <w:tblLook w:val="0000" w:firstRow="0" w:lastRow="0" w:firstColumn="0" w:lastColumn="0" w:noHBand="0" w:noVBand="0"/>
      </w:tblPr>
      <w:tblGrid>
        <w:gridCol w:w="1728"/>
        <w:gridCol w:w="7740"/>
      </w:tblGrid>
      <w:tr w:rsidR="005D07EB" w:rsidRPr="00DE1573" w14:paraId="319F6F10" w14:textId="77777777">
        <w:trPr>
          <w:cantSplit/>
        </w:trPr>
        <w:tc>
          <w:tcPr>
            <w:tcW w:w="1728" w:type="dxa"/>
          </w:tcPr>
          <w:p w14:paraId="319F6F0E" w14:textId="77777777" w:rsidR="005D07EB" w:rsidRPr="00DE1573" w:rsidRDefault="005D07EB">
            <w:pPr>
              <w:pStyle w:val="Heading5"/>
            </w:pPr>
            <w:r w:rsidRPr="00DE1573">
              <w:t>Change Date</w:t>
            </w:r>
          </w:p>
        </w:tc>
        <w:tc>
          <w:tcPr>
            <w:tcW w:w="7740" w:type="dxa"/>
          </w:tcPr>
          <w:p w14:paraId="319F6F0F" w14:textId="77634C0E" w:rsidR="005D07EB" w:rsidRPr="00DE1573" w:rsidRDefault="006E6101">
            <w:pPr>
              <w:pStyle w:val="BlockText"/>
            </w:pPr>
            <w:r w:rsidRPr="00DE1573">
              <w:t>October 23, 2015</w:t>
            </w:r>
          </w:p>
        </w:tc>
      </w:tr>
    </w:tbl>
    <w:p w14:paraId="319F6F11" w14:textId="10159BB1"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F1F" w14:textId="77777777">
        <w:trPr>
          <w:cantSplit/>
        </w:trPr>
        <w:tc>
          <w:tcPr>
            <w:tcW w:w="1728" w:type="dxa"/>
          </w:tcPr>
          <w:p w14:paraId="319F6F12" w14:textId="77777777" w:rsidR="005D07EB" w:rsidRPr="00DE1573" w:rsidRDefault="005D07EB">
            <w:pPr>
              <w:pStyle w:val="Heading5"/>
            </w:pPr>
            <w:proofErr w:type="gramStart"/>
            <w:r w:rsidRPr="00DE1573">
              <w:t>a.  Definition</w:t>
            </w:r>
            <w:proofErr w:type="gramEnd"/>
            <w:r w:rsidRPr="00DE1573">
              <w:t>:  Special Operations</w:t>
            </w:r>
          </w:p>
        </w:tc>
        <w:tc>
          <w:tcPr>
            <w:tcW w:w="7740" w:type="dxa"/>
          </w:tcPr>
          <w:p w14:paraId="319F6F13" w14:textId="77777777" w:rsidR="005D07EB" w:rsidRPr="00DE1573" w:rsidRDefault="005D07EB">
            <w:pPr>
              <w:pStyle w:val="BlockText"/>
            </w:pPr>
            <w:r w:rsidRPr="00DE1573">
              <w:rPr>
                <w:b/>
                <w:bCs/>
                <w:i/>
                <w:iCs/>
              </w:rPr>
              <w:t>Special Operations</w:t>
            </w:r>
            <w:r w:rsidRPr="00DE1573">
              <w:t xml:space="preserve"> are small-scale covert or overt military operations of an unorthodox and frequently high-risk nature, undertaken to achieve significant political or military objectives in support of foreign policy.</w:t>
            </w:r>
          </w:p>
          <w:p w14:paraId="319F6F14" w14:textId="77777777" w:rsidR="005D07EB" w:rsidRPr="00DE1573" w:rsidRDefault="005D07EB">
            <w:pPr>
              <w:pStyle w:val="BlockText"/>
            </w:pPr>
          </w:p>
          <w:p w14:paraId="319F6F15" w14:textId="77777777" w:rsidR="005D07EB" w:rsidRPr="00DE1573" w:rsidRDefault="005D07EB">
            <w:pPr>
              <w:pStyle w:val="BlockText"/>
            </w:pPr>
            <w:r w:rsidRPr="00DE1573">
              <w:t xml:space="preserve">Special Operations units </w:t>
            </w:r>
            <w:r w:rsidR="00671BCD" w:rsidRPr="00DE1573">
              <w:t>are</w:t>
            </w:r>
          </w:p>
          <w:p w14:paraId="319F6F16" w14:textId="77777777" w:rsidR="005D07EB" w:rsidRPr="00DE1573" w:rsidRDefault="005D07EB">
            <w:pPr>
              <w:pStyle w:val="BlockText"/>
            </w:pPr>
          </w:p>
          <w:p w14:paraId="319F6F17" w14:textId="28028901" w:rsidR="005D07EB" w:rsidRPr="00DE1573" w:rsidRDefault="005D07EB">
            <w:pPr>
              <w:pStyle w:val="BulletText1"/>
            </w:pPr>
            <w:r w:rsidRPr="00DE1573">
              <w:t>typically composed of relatively small groups of highly</w:t>
            </w:r>
            <w:r w:rsidR="002413C2" w:rsidRPr="00DE1573">
              <w:t>-</w:t>
            </w:r>
            <w:r w:rsidRPr="00DE1573">
              <w:t>trained</w:t>
            </w:r>
            <w:r w:rsidR="004C1B6D" w:rsidRPr="00DE1573">
              <w:t>, armed</w:t>
            </w:r>
            <w:r w:rsidRPr="00DE1573">
              <w:t xml:space="preserve"> personnel, and</w:t>
            </w:r>
          </w:p>
          <w:p w14:paraId="319F6F18" w14:textId="77777777" w:rsidR="005D07EB" w:rsidRPr="00DE1573" w:rsidRDefault="005D07EB">
            <w:pPr>
              <w:pStyle w:val="BulletText1"/>
            </w:pPr>
            <w:proofErr w:type="gramStart"/>
            <w:r w:rsidRPr="00DE1573">
              <w:t>often</w:t>
            </w:r>
            <w:proofErr w:type="gramEnd"/>
            <w:r w:rsidRPr="00DE1573">
              <w:t xml:space="preserve"> transported by helicopter, small boats, or submarines, or parachute from aircraft for stealthy infiltration by land. </w:t>
            </w:r>
          </w:p>
          <w:p w14:paraId="319F6F19" w14:textId="77777777" w:rsidR="005D07EB" w:rsidRPr="00DE1573" w:rsidRDefault="005D07EB">
            <w:pPr>
              <w:pStyle w:val="BlockText"/>
            </w:pPr>
          </w:p>
          <w:p w14:paraId="319F6F1A" w14:textId="77777777" w:rsidR="005D07EB" w:rsidRPr="00DE1573" w:rsidRDefault="005D07EB">
            <w:pPr>
              <w:pStyle w:val="BlockText"/>
            </w:pPr>
            <w:r w:rsidRPr="00DE1573">
              <w:rPr>
                <w:b/>
                <w:bCs/>
                <w:i/>
                <w:iCs/>
              </w:rPr>
              <w:t>Examples</w:t>
            </w:r>
            <w:r w:rsidRPr="00DE1573">
              <w:t xml:space="preserve">:  </w:t>
            </w:r>
          </w:p>
          <w:p w14:paraId="319F6F1B" w14:textId="77777777" w:rsidR="005D07EB" w:rsidRPr="00DE1573" w:rsidRDefault="005D07EB">
            <w:pPr>
              <w:pStyle w:val="BulletText1"/>
            </w:pPr>
            <w:r w:rsidRPr="00DE1573">
              <w:t xml:space="preserve">U.S. Army’s Special </w:t>
            </w:r>
            <w:proofErr w:type="gramStart"/>
            <w:r w:rsidRPr="00DE1573">
              <w:t>Forces,</w:t>
            </w:r>
            <w:proofErr w:type="gramEnd"/>
            <w:r w:rsidRPr="00DE1573">
              <w:t xml:space="preserve"> commonly called the “Green Berets.”</w:t>
            </w:r>
          </w:p>
          <w:p w14:paraId="319F6F1C" w14:textId="453408C6" w:rsidR="005D07EB" w:rsidRPr="00DE1573" w:rsidRDefault="005D07EB">
            <w:pPr>
              <w:pStyle w:val="BulletText1"/>
            </w:pPr>
            <w:r w:rsidRPr="00DE1573">
              <w:t xml:space="preserve">U.S. Navy </w:t>
            </w:r>
            <w:r w:rsidR="002413C2" w:rsidRPr="00DE1573">
              <w:t>sea, air, and land teams (</w:t>
            </w:r>
            <w:r w:rsidRPr="00DE1573">
              <w:t>SEALs</w:t>
            </w:r>
            <w:r w:rsidR="002413C2" w:rsidRPr="00DE1573">
              <w:t>)</w:t>
            </w:r>
            <w:r w:rsidRPr="00DE1573">
              <w:t>.</w:t>
            </w:r>
          </w:p>
          <w:p w14:paraId="319F6F1D" w14:textId="77777777" w:rsidR="005D07EB" w:rsidRPr="00DE1573" w:rsidRDefault="005D07EB">
            <w:pPr>
              <w:pStyle w:val="BlockText"/>
            </w:pPr>
          </w:p>
          <w:p w14:paraId="319F6F1E" w14:textId="77777777" w:rsidR="005D07EB" w:rsidRPr="00DE1573" w:rsidRDefault="005D07EB">
            <w:pPr>
              <w:pStyle w:val="BlockText"/>
            </w:pPr>
            <w:r w:rsidRPr="00DE1573">
              <w:rPr>
                <w:b/>
                <w:bCs/>
                <w:i/>
                <w:iCs/>
              </w:rPr>
              <w:t>Note</w:t>
            </w:r>
            <w:r w:rsidRPr="00DE1573">
              <w:t>:  Some Special Operations, such as counter-terrorism actions, may be carried out domestically under certain circumstances.</w:t>
            </w:r>
          </w:p>
        </w:tc>
      </w:tr>
    </w:tbl>
    <w:p w14:paraId="319F6F22" w14:textId="37D55425"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F25" w14:textId="77777777">
        <w:trPr>
          <w:cantSplit/>
        </w:trPr>
        <w:tc>
          <w:tcPr>
            <w:tcW w:w="1728" w:type="dxa"/>
          </w:tcPr>
          <w:p w14:paraId="319F6F23" w14:textId="100EAE65" w:rsidR="005D07EB" w:rsidRPr="00DE1573" w:rsidRDefault="005D07EB">
            <w:pPr>
              <w:pStyle w:val="Heading5"/>
            </w:pPr>
            <w:proofErr w:type="gramStart"/>
            <w:r w:rsidRPr="00DE1573">
              <w:t>b.  Developing</w:t>
            </w:r>
            <w:proofErr w:type="gramEnd"/>
            <w:r w:rsidR="001D509E" w:rsidRPr="00DE1573">
              <w:t xml:space="preserve"> Claims Related to</w:t>
            </w:r>
            <w:r w:rsidRPr="00DE1573">
              <w:t xml:space="preserve"> Special Operations Incidents</w:t>
            </w:r>
          </w:p>
        </w:tc>
        <w:tc>
          <w:tcPr>
            <w:tcW w:w="7740" w:type="dxa"/>
          </w:tcPr>
          <w:p w14:paraId="319F6F24" w14:textId="68F1AB45" w:rsidR="005D07EB" w:rsidRPr="00DE1573" w:rsidRDefault="00087AF5">
            <w:pPr>
              <w:pStyle w:val="BlockText"/>
            </w:pPr>
            <w:r w:rsidRPr="00DE1573">
              <w:t>Follow the steps in t</w:t>
            </w:r>
            <w:r w:rsidR="00434444" w:rsidRPr="00DE1573">
              <w:t>he table below</w:t>
            </w:r>
            <w:r w:rsidRPr="00DE1573">
              <w:t xml:space="preserve"> </w:t>
            </w:r>
            <w:r w:rsidR="00434444" w:rsidRPr="00DE1573">
              <w:t>to determine</w:t>
            </w:r>
            <w:r w:rsidR="005D07EB" w:rsidRPr="00DE1573">
              <w:t xml:space="preserve"> the development action to take when a </w:t>
            </w:r>
            <w:r w:rsidR="00C87AE0" w:rsidRPr="00DE1573">
              <w:t>Veteran</w:t>
            </w:r>
            <w:r w:rsidR="005D07EB" w:rsidRPr="00DE1573">
              <w:t xml:space="preserve"> claims that an injury or disability occurred during a Special Operations assignment.</w:t>
            </w:r>
          </w:p>
        </w:tc>
      </w:tr>
    </w:tbl>
    <w:p w14:paraId="319F6F26" w14:textId="77777777" w:rsidR="005D07EB" w:rsidRPr="00DE1573" w:rsidRDefault="005D07EB"/>
    <w:tbl>
      <w:tblPr>
        <w:tblW w:w="0" w:type="auto"/>
        <w:tblInd w:w="1829" w:type="dxa"/>
        <w:tblLayout w:type="fixed"/>
        <w:tblLook w:val="0000" w:firstRow="0" w:lastRow="0" w:firstColumn="0" w:lastColumn="0" w:noHBand="0" w:noVBand="0"/>
      </w:tblPr>
      <w:tblGrid>
        <w:gridCol w:w="878"/>
        <w:gridCol w:w="6671"/>
      </w:tblGrid>
      <w:tr w:rsidR="005D07EB" w:rsidRPr="00DE1573" w14:paraId="319F6F29" w14:textId="77777777">
        <w:trPr>
          <w:cantSplit/>
        </w:trPr>
        <w:tc>
          <w:tcPr>
            <w:tcW w:w="878" w:type="dxa"/>
            <w:tcBorders>
              <w:top w:val="single" w:sz="6" w:space="0" w:color="auto"/>
              <w:left w:val="single" w:sz="6" w:space="0" w:color="auto"/>
              <w:bottom w:val="single" w:sz="6" w:space="0" w:color="auto"/>
              <w:right w:val="single" w:sz="6" w:space="0" w:color="auto"/>
            </w:tcBorders>
          </w:tcPr>
          <w:p w14:paraId="319F6F27" w14:textId="77777777" w:rsidR="005D07EB" w:rsidRPr="00DE1573" w:rsidRDefault="005D07EB">
            <w:pPr>
              <w:pStyle w:val="TableHeaderText"/>
            </w:pPr>
            <w:r w:rsidRPr="00DE1573">
              <w:t>Step</w:t>
            </w:r>
          </w:p>
        </w:tc>
        <w:tc>
          <w:tcPr>
            <w:tcW w:w="6671" w:type="dxa"/>
            <w:tcBorders>
              <w:top w:val="single" w:sz="6" w:space="0" w:color="auto"/>
              <w:bottom w:val="single" w:sz="6" w:space="0" w:color="auto"/>
              <w:right w:val="single" w:sz="6" w:space="0" w:color="auto"/>
            </w:tcBorders>
          </w:tcPr>
          <w:p w14:paraId="319F6F28" w14:textId="77777777" w:rsidR="005D07EB" w:rsidRPr="00DE1573" w:rsidRDefault="005D07EB">
            <w:pPr>
              <w:pStyle w:val="TableHeaderText"/>
            </w:pPr>
            <w:r w:rsidRPr="00DE1573">
              <w:t>Action</w:t>
            </w:r>
          </w:p>
        </w:tc>
      </w:tr>
      <w:tr w:rsidR="005D07EB" w:rsidRPr="00DE1573" w14:paraId="319F6F2C" w14:textId="77777777">
        <w:trPr>
          <w:cantSplit/>
        </w:trPr>
        <w:tc>
          <w:tcPr>
            <w:tcW w:w="878" w:type="dxa"/>
            <w:tcBorders>
              <w:top w:val="single" w:sz="6" w:space="0" w:color="auto"/>
              <w:left w:val="single" w:sz="6" w:space="0" w:color="auto"/>
              <w:bottom w:val="single" w:sz="6" w:space="0" w:color="auto"/>
              <w:right w:val="single" w:sz="6" w:space="0" w:color="auto"/>
            </w:tcBorders>
          </w:tcPr>
          <w:p w14:paraId="319F6F2A" w14:textId="77777777" w:rsidR="005D07EB" w:rsidRPr="00DE1573" w:rsidRDefault="005D07EB">
            <w:pPr>
              <w:pStyle w:val="TableText"/>
              <w:jc w:val="center"/>
            </w:pPr>
            <w:r w:rsidRPr="00DE1573">
              <w:t>1</w:t>
            </w:r>
          </w:p>
        </w:tc>
        <w:tc>
          <w:tcPr>
            <w:tcW w:w="6671" w:type="dxa"/>
            <w:tcBorders>
              <w:top w:val="single" w:sz="6" w:space="0" w:color="auto"/>
              <w:bottom w:val="single" w:sz="6" w:space="0" w:color="auto"/>
              <w:right w:val="single" w:sz="6" w:space="0" w:color="auto"/>
            </w:tcBorders>
          </w:tcPr>
          <w:p w14:paraId="75D38F6B" w14:textId="4DBC6651" w:rsidR="005D07EB" w:rsidRPr="00DE1573" w:rsidRDefault="00B6776C" w:rsidP="00B6776C">
            <w:pPr>
              <w:pStyle w:val="TableText"/>
            </w:pPr>
            <w:r w:rsidRPr="00DE1573">
              <w:t>Generate and s</w:t>
            </w:r>
            <w:r w:rsidR="005D07EB" w:rsidRPr="00DE1573">
              <w:t xml:space="preserve">end a </w:t>
            </w:r>
            <w:r w:rsidR="003A697A" w:rsidRPr="00DE1573">
              <w:t>section 5103</w:t>
            </w:r>
            <w:r w:rsidR="002F63D7" w:rsidRPr="00DE1573">
              <w:t xml:space="preserve"> notice</w:t>
            </w:r>
            <w:r w:rsidR="005D07EB" w:rsidRPr="00DE1573">
              <w:t xml:space="preserve"> to the </w:t>
            </w:r>
            <w:r w:rsidR="00C87AE0" w:rsidRPr="00DE1573">
              <w:t>Veteran</w:t>
            </w:r>
            <w:r w:rsidR="00C63C90" w:rsidRPr="00DE1573">
              <w:t xml:space="preserve"> </w:t>
            </w:r>
            <w:r w:rsidRPr="00DE1573">
              <w:t>by selecting the SPECIAL OPERATIONS UNIT development action</w:t>
            </w:r>
            <w:r w:rsidR="005D07EB" w:rsidRPr="00DE1573">
              <w:t xml:space="preserve">. </w:t>
            </w:r>
          </w:p>
          <w:p w14:paraId="5031E0CD" w14:textId="1F10E4C0" w:rsidR="002630DD" w:rsidRPr="00DE1573" w:rsidRDefault="00A155DA" w:rsidP="00B6776C">
            <w:pPr>
              <w:pStyle w:val="TableText"/>
            </w:pPr>
            <w:r w:rsidRPr="00DE1573">
              <w:t xml:space="preserve"> </w:t>
            </w:r>
          </w:p>
          <w:p w14:paraId="319F6F2B" w14:textId="561B42FB" w:rsidR="002630DD" w:rsidRPr="00DE1573" w:rsidRDefault="002630DD" w:rsidP="002630DD">
            <w:pPr>
              <w:pStyle w:val="TableText"/>
            </w:pPr>
            <w:r w:rsidRPr="00DE1573">
              <w:rPr>
                <w:b/>
                <w:i/>
              </w:rPr>
              <w:t>Note</w:t>
            </w:r>
            <w:r w:rsidRPr="00DE1573">
              <w:t>:  This notice is required unless the evidence of record provides the information requested in the letter.</w:t>
            </w:r>
          </w:p>
        </w:tc>
      </w:tr>
      <w:tr w:rsidR="005D07EB" w:rsidRPr="00DE1573" w14:paraId="319F6F32" w14:textId="77777777">
        <w:trPr>
          <w:cantSplit/>
        </w:trPr>
        <w:tc>
          <w:tcPr>
            <w:tcW w:w="878" w:type="dxa"/>
            <w:tcBorders>
              <w:top w:val="single" w:sz="6" w:space="0" w:color="auto"/>
              <w:left w:val="single" w:sz="6" w:space="0" w:color="auto"/>
              <w:bottom w:val="single" w:sz="6" w:space="0" w:color="auto"/>
              <w:right w:val="single" w:sz="6" w:space="0" w:color="auto"/>
            </w:tcBorders>
          </w:tcPr>
          <w:p w14:paraId="319F6F2D" w14:textId="77777777" w:rsidR="005D07EB" w:rsidRPr="00DE1573" w:rsidRDefault="005D07EB">
            <w:pPr>
              <w:pStyle w:val="TableText"/>
              <w:jc w:val="center"/>
            </w:pPr>
            <w:r w:rsidRPr="00DE1573">
              <w:lastRenderedPageBreak/>
              <w:t>2</w:t>
            </w:r>
          </w:p>
        </w:tc>
        <w:tc>
          <w:tcPr>
            <w:tcW w:w="6671" w:type="dxa"/>
            <w:tcBorders>
              <w:top w:val="single" w:sz="6" w:space="0" w:color="auto"/>
              <w:bottom w:val="single" w:sz="6" w:space="0" w:color="auto"/>
              <w:right w:val="single" w:sz="6" w:space="0" w:color="auto"/>
            </w:tcBorders>
          </w:tcPr>
          <w:p w14:paraId="319F6F2E" w14:textId="77777777" w:rsidR="005D07EB" w:rsidRPr="00DE1573" w:rsidRDefault="005D07EB">
            <w:pPr>
              <w:pStyle w:val="TableText"/>
            </w:pPr>
            <w:r w:rsidRPr="00DE1573">
              <w:t xml:space="preserve">After waiting 30 days, did VA receive the </w:t>
            </w:r>
            <w:r w:rsidR="00C87AE0" w:rsidRPr="00DE1573">
              <w:t>Veteran</w:t>
            </w:r>
            <w:r w:rsidRPr="00DE1573">
              <w:t>’s response?</w:t>
            </w:r>
          </w:p>
          <w:p w14:paraId="319F6F2F" w14:textId="77777777" w:rsidR="005D07EB" w:rsidRPr="00DE1573" w:rsidRDefault="005D07EB">
            <w:pPr>
              <w:pStyle w:val="TableText"/>
            </w:pPr>
          </w:p>
          <w:p w14:paraId="319F6F30" w14:textId="77777777" w:rsidR="005D07EB" w:rsidRPr="00DE1573" w:rsidRDefault="005D07EB">
            <w:pPr>
              <w:pStyle w:val="BulletText1"/>
            </w:pPr>
            <w:r w:rsidRPr="00DE1573">
              <w:t xml:space="preserve">If </w:t>
            </w:r>
            <w:r w:rsidRPr="00DE1573">
              <w:rPr>
                <w:bCs/>
                <w:i/>
                <w:iCs/>
              </w:rPr>
              <w:t>yes</w:t>
            </w:r>
            <w:r w:rsidRPr="00DE1573">
              <w:t>, go to Step 3.</w:t>
            </w:r>
          </w:p>
          <w:p w14:paraId="319F6F31" w14:textId="77777777" w:rsidR="005D07EB" w:rsidRPr="00DE1573" w:rsidRDefault="005D07EB">
            <w:pPr>
              <w:pStyle w:val="BulletText1"/>
            </w:pPr>
            <w:r w:rsidRPr="00DE1573">
              <w:t xml:space="preserve">If </w:t>
            </w:r>
            <w:r w:rsidRPr="00DE1573">
              <w:rPr>
                <w:bCs/>
                <w:i/>
                <w:iCs/>
              </w:rPr>
              <w:t>no</w:t>
            </w:r>
            <w:r w:rsidRPr="00DE1573">
              <w:t>, process the claim in accordance with standard procedures.</w:t>
            </w:r>
          </w:p>
        </w:tc>
      </w:tr>
      <w:tr w:rsidR="005D07EB" w:rsidRPr="00DE1573" w14:paraId="319F6F3D" w14:textId="77777777">
        <w:trPr>
          <w:cantSplit/>
        </w:trPr>
        <w:tc>
          <w:tcPr>
            <w:tcW w:w="878" w:type="dxa"/>
            <w:tcBorders>
              <w:top w:val="single" w:sz="6" w:space="0" w:color="auto"/>
              <w:left w:val="single" w:sz="6" w:space="0" w:color="auto"/>
              <w:bottom w:val="single" w:sz="6" w:space="0" w:color="auto"/>
              <w:right w:val="single" w:sz="6" w:space="0" w:color="auto"/>
            </w:tcBorders>
          </w:tcPr>
          <w:p w14:paraId="319F6F33" w14:textId="77777777" w:rsidR="005D07EB" w:rsidRPr="00DE1573" w:rsidRDefault="005D07EB">
            <w:pPr>
              <w:pStyle w:val="TableText"/>
              <w:jc w:val="center"/>
            </w:pPr>
            <w:r w:rsidRPr="00DE1573">
              <w:t>3</w:t>
            </w:r>
          </w:p>
        </w:tc>
        <w:tc>
          <w:tcPr>
            <w:tcW w:w="6671" w:type="dxa"/>
            <w:tcBorders>
              <w:top w:val="single" w:sz="6" w:space="0" w:color="auto"/>
              <w:bottom w:val="single" w:sz="6" w:space="0" w:color="auto"/>
              <w:right w:val="single" w:sz="6" w:space="0" w:color="auto"/>
            </w:tcBorders>
          </w:tcPr>
          <w:p w14:paraId="319F6F34" w14:textId="77777777" w:rsidR="005D07EB" w:rsidRPr="00DE1573" w:rsidRDefault="005D07EB">
            <w:pPr>
              <w:pStyle w:val="TableText"/>
            </w:pPr>
            <w:r w:rsidRPr="00DE1573">
              <w:t xml:space="preserve">Did the </w:t>
            </w:r>
            <w:r w:rsidR="00C87AE0" w:rsidRPr="00DE1573">
              <w:t>Veteran</w:t>
            </w:r>
            <w:r w:rsidRPr="00DE1573">
              <w:t xml:space="preserve"> provide </w:t>
            </w:r>
            <w:r w:rsidRPr="00DE1573">
              <w:rPr>
                <w:i/>
                <w:iCs/>
              </w:rPr>
              <w:t>at least</w:t>
            </w:r>
            <w:r w:rsidRPr="00DE1573">
              <w:t xml:space="preserve"> the</w:t>
            </w:r>
          </w:p>
          <w:p w14:paraId="319F6F35" w14:textId="77777777" w:rsidR="005D07EB" w:rsidRPr="00DE1573" w:rsidRDefault="005D07EB">
            <w:pPr>
              <w:pStyle w:val="TableText"/>
            </w:pPr>
          </w:p>
          <w:p w14:paraId="319F6F36" w14:textId="77777777" w:rsidR="005D07EB" w:rsidRPr="00DE1573" w:rsidRDefault="005D07EB">
            <w:pPr>
              <w:pStyle w:val="BulletText1"/>
            </w:pPr>
            <w:r w:rsidRPr="00DE1573">
              <w:t>location (city/province and country) where the incident took place, and</w:t>
            </w:r>
          </w:p>
          <w:p w14:paraId="319F6F37" w14:textId="77777777" w:rsidR="005D07EB" w:rsidRPr="00DE1573" w:rsidRDefault="005D07EB">
            <w:pPr>
              <w:pStyle w:val="BulletText1"/>
            </w:pPr>
            <w:proofErr w:type="gramStart"/>
            <w:r w:rsidRPr="00DE1573">
              <w:t>the</w:t>
            </w:r>
            <w:proofErr w:type="gramEnd"/>
            <w:r w:rsidRPr="00DE1573">
              <w:t xml:space="preserve"> approximate date (within a 60-day range) of the incident?</w:t>
            </w:r>
          </w:p>
          <w:p w14:paraId="319F6F38" w14:textId="77777777" w:rsidR="005D07EB" w:rsidRPr="00DE1573" w:rsidRDefault="005D07EB">
            <w:pPr>
              <w:pStyle w:val="TableText"/>
            </w:pPr>
          </w:p>
          <w:p w14:paraId="319F6F39" w14:textId="77777777" w:rsidR="005D07EB" w:rsidRPr="00DE1573" w:rsidRDefault="005D07EB">
            <w:pPr>
              <w:pStyle w:val="BulletText1"/>
            </w:pPr>
            <w:r w:rsidRPr="00DE1573">
              <w:t xml:space="preserve">If </w:t>
            </w:r>
            <w:r w:rsidRPr="00DE1573">
              <w:rPr>
                <w:bCs/>
                <w:i/>
                <w:iCs/>
              </w:rPr>
              <w:t>yes</w:t>
            </w:r>
            <w:r w:rsidRPr="00DE1573">
              <w:t>, route the claims folder to the Military Records Specialist (MRS) to</w:t>
            </w:r>
          </w:p>
          <w:p w14:paraId="319F6F3A" w14:textId="4FAE1CDF" w:rsidR="005D07EB" w:rsidRPr="00DE1573" w:rsidRDefault="005D07EB">
            <w:pPr>
              <w:pStyle w:val="BulletText2"/>
            </w:pPr>
            <w:r w:rsidRPr="00DE1573">
              <w:t xml:space="preserve">complete the “Special Operations Forces Incident” document shown in </w:t>
            </w:r>
            <w:r w:rsidR="00BA1940" w:rsidRPr="00DE1573">
              <w:t>M21-1, Part IV, Subpart ii, 1.</w:t>
            </w:r>
            <w:r w:rsidR="00607532" w:rsidRPr="00DE1573">
              <w:t>I.5.</w:t>
            </w:r>
            <w:r w:rsidR="00B6776C" w:rsidRPr="00DE1573">
              <w:t>c</w:t>
            </w:r>
            <w:r w:rsidRPr="00DE1573">
              <w:t>, and</w:t>
            </w:r>
          </w:p>
          <w:p w14:paraId="319F6F3B" w14:textId="14B74C5B" w:rsidR="005D07EB" w:rsidRPr="00DE1573" w:rsidRDefault="005D07EB">
            <w:pPr>
              <w:pStyle w:val="BulletText2"/>
            </w:pPr>
            <w:proofErr w:type="gramStart"/>
            <w:r w:rsidRPr="00DE1573">
              <w:t>send</w:t>
            </w:r>
            <w:proofErr w:type="gramEnd"/>
            <w:r w:rsidRPr="00DE1573">
              <w:t xml:space="preserve"> it via encrypted </w:t>
            </w:r>
            <w:r w:rsidR="004732EA" w:rsidRPr="00DE1573">
              <w:t>e-</w:t>
            </w:r>
            <w:r w:rsidRPr="00DE1573">
              <w:t>mail to VAVBASPT/RO/SOCOM.</w:t>
            </w:r>
          </w:p>
          <w:p w14:paraId="319F6F3C" w14:textId="77777777" w:rsidR="005D07EB" w:rsidRPr="00DE1573" w:rsidRDefault="005D07EB">
            <w:pPr>
              <w:pStyle w:val="BulletText1"/>
            </w:pPr>
            <w:r w:rsidRPr="00DE1573">
              <w:t xml:space="preserve">If </w:t>
            </w:r>
            <w:r w:rsidRPr="00DE1573">
              <w:rPr>
                <w:bCs/>
                <w:i/>
                <w:iCs/>
              </w:rPr>
              <w:t>no</w:t>
            </w:r>
            <w:r w:rsidRPr="00DE1573">
              <w:t>, go to Step 4.</w:t>
            </w:r>
          </w:p>
        </w:tc>
      </w:tr>
      <w:tr w:rsidR="005D07EB" w:rsidRPr="00DE1573" w14:paraId="319F6F47" w14:textId="77777777">
        <w:trPr>
          <w:cantSplit/>
        </w:trPr>
        <w:tc>
          <w:tcPr>
            <w:tcW w:w="878" w:type="dxa"/>
            <w:tcBorders>
              <w:top w:val="single" w:sz="6" w:space="0" w:color="auto"/>
              <w:left w:val="single" w:sz="6" w:space="0" w:color="auto"/>
              <w:bottom w:val="single" w:sz="6" w:space="0" w:color="auto"/>
              <w:right w:val="single" w:sz="6" w:space="0" w:color="auto"/>
            </w:tcBorders>
          </w:tcPr>
          <w:p w14:paraId="319F6F3E" w14:textId="77777777" w:rsidR="005D07EB" w:rsidRPr="00DE1573" w:rsidRDefault="005D07EB">
            <w:pPr>
              <w:pStyle w:val="TableText"/>
              <w:jc w:val="center"/>
            </w:pPr>
            <w:r w:rsidRPr="00DE1573">
              <w:t>4</w:t>
            </w:r>
          </w:p>
        </w:tc>
        <w:tc>
          <w:tcPr>
            <w:tcW w:w="6671" w:type="dxa"/>
            <w:tcBorders>
              <w:top w:val="single" w:sz="6" w:space="0" w:color="auto"/>
              <w:bottom w:val="single" w:sz="6" w:space="0" w:color="auto"/>
              <w:right w:val="single" w:sz="6" w:space="0" w:color="auto"/>
            </w:tcBorders>
          </w:tcPr>
          <w:p w14:paraId="319F6F3F" w14:textId="77777777" w:rsidR="005D07EB" w:rsidRPr="00DE1573" w:rsidRDefault="008148FB">
            <w:pPr>
              <w:pStyle w:val="TableText"/>
            </w:pPr>
            <w:r w:rsidRPr="00DE1573">
              <w:t>Send a 1</w:t>
            </w:r>
            <w:r w:rsidR="005D07EB" w:rsidRPr="00DE1573">
              <w:t>0-day follow-up letter explaining what information is missing and why the information is needed.</w:t>
            </w:r>
          </w:p>
          <w:p w14:paraId="319F6F40" w14:textId="77777777" w:rsidR="005D07EB" w:rsidRPr="00DE1573" w:rsidRDefault="005D07EB">
            <w:pPr>
              <w:pStyle w:val="TableText"/>
            </w:pPr>
          </w:p>
          <w:p w14:paraId="319F6F41" w14:textId="2145B1D4" w:rsidR="005D07EB" w:rsidRPr="00DE1573" w:rsidRDefault="005D07EB">
            <w:pPr>
              <w:pStyle w:val="TableText"/>
            </w:pPr>
            <w:r w:rsidRPr="00DE1573">
              <w:t xml:space="preserve">If the </w:t>
            </w:r>
            <w:r w:rsidR="00C87AE0" w:rsidRPr="00DE1573">
              <w:t>Veteran</w:t>
            </w:r>
            <w:r w:rsidRPr="00DE1573">
              <w:t xml:space="preserve"> fails to respond to the follow-up letter or does not provide the information listed in Step 3</w:t>
            </w:r>
          </w:p>
          <w:p w14:paraId="319F6F42" w14:textId="77777777" w:rsidR="005D07EB" w:rsidRPr="00DE1573" w:rsidRDefault="005D07EB">
            <w:pPr>
              <w:pStyle w:val="TableText"/>
            </w:pPr>
          </w:p>
          <w:p w14:paraId="319F6F43" w14:textId="77777777" w:rsidR="005D07EB" w:rsidRPr="00DE1573" w:rsidRDefault="005D07EB">
            <w:pPr>
              <w:pStyle w:val="BulletText1"/>
            </w:pPr>
            <w:r w:rsidRPr="00DE1573">
              <w:t>continue to process the claim and promulgate a rating decision with the evidence in the claims folder, and</w:t>
            </w:r>
          </w:p>
          <w:p w14:paraId="319F6F44" w14:textId="09C3E843" w:rsidR="005D07EB" w:rsidRPr="00DE1573" w:rsidRDefault="005D07EB">
            <w:pPr>
              <w:pStyle w:val="BulletText1"/>
            </w:pPr>
            <w:r w:rsidRPr="00DE1573">
              <w:t xml:space="preserve">in the </w:t>
            </w:r>
            <w:r w:rsidR="004329E1" w:rsidRPr="00DE1573">
              <w:t>decision notice</w:t>
            </w:r>
          </w:p>
          <w:p w14:paraId="319F6F45" w14:textId="77777777" w:rsidR="005D07EB" w:rsidRPr="00DE1573" w:rsidRDefault="005D07EB">
            <w:pPr>
              <w:pStyle w:val="BulletText2"/>
            </w:pPr>
            <w:r w:rsidRPr="00DE1573">
              <w:t xml:space="preserve">advise the </w:t>
            </w:r>
            <w:r w:rsidR="00C87AE0" w:rsidRPr="00DE1573">
              <w:t>Veteran</w:t>
            </w:r>
            <w:r w:rsidRPr="00DE1573">
              <w:t xml:space="preserve"> that VA was unable to verify an incident in service related to the claimed disability, and</w:t>
            </w:r>
          </w:p>
          <w:p w14:paraId="319F6F46" w14:textId="77777777" w:rsidR="005D07EB" w:rsidRPr="00DE1573" w:rsidRDefault="005D07EB">
            <w:pPr>
              <w:pStyle w:val="BulletText2"/>
            </w:pPr>
            <w:proofErr w:type="gramStart"/>
            <w:r w:rsidRPr="00DE1573">
              <w:t>identify</w:t>
            </w:r>
            <w:proofErr w:type="gramEnd"/>
            <w:r w:rsidRPr="00DE1573">
              <w:t xml:space="preserve"> the information that is still needed to verify the incident.</w:t>
            </w:r>
          </w:p>
        </w:tc>
      </w:tr>
    </w:tbl>
    <w:p w14:paraId="53D9BDF8" w14:textId="0614D2EB" w:rsidR="00C63C90" w:rsidRPr="00DE1573" w:rsidRDefault="00C63C90" w:rsidP="00C63C90">
      <w:pPr>
        <w:pStyle w:val="BlockLine"/>
        <w:tabs>
          <w:tab w:val="left" w:pos="9360"/>
        </w:tabs>
        <w:ind w:left="1714"/>
      </w:pPr>
    </w:p>
    <w:tbl>
      <w:tblPr>
        <w:tblW w:w="0" w:type="auto"/>
        <w:tblLayout w:type="fixed"/>
        <w:tblLook w:val="0000" w:firstRow="0" w:lastRow="0" w:firstColumn="0" w:lastColumn="0" w:noHBand="0" w:noVBand="0"/>
      </w:tblPr>
      <w:tblGrid>
        <w:gridCol w:w="1728"/>
        <w:gridCol w:w="7740"/>
      </w:tblGrid>
      <w:tr w:rsidR="005D07EB" w:rsidRPr="00DE1573" w14:paraId="319F6F60" w14:textId="77777777">
        <w:trPr>
          <w:cantSplit/>
        </w:trPr>
        <w:tc>
          <w:tcPr>
            <w:tcW w:w="1728" w:type="dxa"/>
          </w:tcPr>
          <w:p w14:paraId="319F6F5C" w14:textId="67EC2CAD" w:rsidR="005D07EB" w:rsidRPr="00DE1573" w:rsidRDefault="00B6776C">
            <w:pPr>
              <w:pStyle w:val="Heading5"/>
            </w:pPr>
            <w:proofErr w:type="gramStart"/>
            <w:r w:rsidRPr="00DE1573">
              <w:t>c</w:t>
            </w:r>
            <w:r w:rsidR="005D07EB" w:rsidRPr="00DE1573">
              <w:t>.  Example</w:t>
            </w:r>
            <w:proofErr w:type="gramEnd"/>
            <w:r w:rsidR="005D07EB" w:rsidRPr="00DE1573">
              <w:t xml:space="preserve">:  Special Operations Forces Incident Document </w:t>
            </w:r>
          </w:p>
        </w:tc>
        <w:tc>
          <w:tcPr>
            <w:tcW w:w="7740" w:type="dxa"/>
          </w:tcPr>
          <w:p w14:paraId="319F6F5D" w14:textId="38A6BE2E" w:rsidR="005D07EB" w:rsidRPr="00DE1573" w:rsidRDefault="005D07EB">
            <w:pPr>
              <w:pStyle w:val="BlockText"/>
            </w:pPr>
            <w:r w:rsidRPr="00DE1573">
              <w:t>An example of a Special Operations Forces Incident document is shown below.</w:t>
            </w:r>
          </w:p>
          <w:p w14:paraId="319F6F5E" w14:textId="77777777" w:rsidR="005D07EB" w:rsidRPr="00DE1573" w:rsidRDefault="005D07EB">
            <w:pPr>
              <w:pStyle w:val="BlockText"/>
            </w:pPr>
          </w:p>
          <w:p w14:paraId="319F6F5F" w14:textId="490DA07E" w:rsidR="005D07EB" w:rsidRPr="00DE1573" w:rsidRDefault="005D07EB" w:rsidP="006431F5">
            <w:pPr>
              <w:pStyle w:val="BlockText"/>
            </w:pPr>
            <w:r w:rsidRPr="00DE1573">
              <w:rPr>
                <w:b/>
                <w:bCs/>
                <w:i/>
                <w:iCs/>
              </w:rPr>
              <w:t>Note</w:t>
            </w:r>
            <w:r w:rsidRPr="00DE1573">
              <w:t xml:space="preserve">:  The </w:t>
            </w:r>
            <w:r w:rsidR="00247945" w:rsidRPr="00DE1573">
              <w:t>regional office (</w:t>
            </w:r>
            <w:r w:rsidRPr="00DE1573">
              <w:t>RO</w:t>
            </w:r>
            <w:r w:rsidR="00247945" w:rsidRPr="00DE1573">
              <w:t>)</w:t>
            </w:r>
            <w:r w:rsidRPr="00DE1573">
              <w:t xml:space="preserve"> MRS will complete as much information as possible and submit this request via encrypted e-mail</w:t>
            </w:r>
            <w:r w:rsidR="004C1B6D" w:rsidRPr="00DE1573">
              <w:t xml:space="preserve"> to VAVBASPT/RO/SOCOM.  </w:t>
            </w:r>
            <w:r w:rsidR="006431F5" w:rsidRPr="00DE1573">
              <w:t>A</w:t>
            </w:r>
            <w:r w:rsidRPr="00DE1573">
              <w:t>llow 60 days for a response before sending a follow-up request.</w:t>
            </w:r>
          </w:p>
        </w:tc>
      </w:tr>
    </w:tbl>
    <w:p w14:paraId="319F6F61" w14:textId="77777777" w:rsidR="005D07EB" w:rsidRPr="00DE1573" w:rsidRDefault="005D07EB"/>
    <w:tbl>
      <w:tblPr>
        <w:tblW w:w="0" w:type="auto"/>
        <w:tblInd w:w="18" w:type="dxa"/>
        <w:tblLayout w:type="fixed"/>
        <w:tblLook w:val="0000" w:firstRow="0" w:lastRow="0" w:firstColumn="0" w:lastColumn="0" w:noHBand="0" w:noVBand="0"/>
      </w:tblPr>
      <w:tblGrid>
        <w:gridCol w:w="9359"/>
      </w:tblGrid>
      <w:tr w:rsidR="005D07EB" w:rsidRPr="00DE1573" w14:paraId="319F6F88" w14:textId="77777777" w:rsidTr="000417F1">
        <w:trPr>
          <w:cantSplit/>
          <w:trHeight w:val="272"/>
        </w:trPr>
        <w:tc>
          <w:tcPr>
            <w:tcW w:w="9359" w:type="dxa"/>
            <w:tcBorders>
              <w:top w:val="single" w:sz="6" w:space="0" w:color="auto"/>
              <w:left w:val="single" w:sz="6" w:space="0" w:color="auto"/>
              <w:bottom w:val="single" w:sz="6" w:space="0" w:color="auto"/>
              <w:right w:val="single" w:sz="6" w:space="0" w:color="auto"/>
            </w:tcBorders>
          </w:tcPr>
          <w:p w14:paraId="319F6F62" w14:textId="77777777" w:rsidR="005D07EB" w:rsidRPr="00DE1573" w:rsidRDefault="005D07EB" w:rsidP="00652087">
            <w:pPr>
              <w:pStyle w:val="TableText"/>
              <w:rPr>
                <w:b/>
              </w:rPr>
            </w:pPr>
            <w:r w:rsidRPr="00DE1573">
              <w:rPr>
                <w:b/>
              </w:rPr>
              <w:lastRenderedPageBreak/>
              <w:t>Special Operations Forces Incident</w:t>
            </w:r>
          </w:p>
          <w:p w14:paraId="319F6F63" w14:textId="77777777" w:rsidR="005D07EB" w:rsidRPr="00DE1573" w:rsidRDefault="005D07EB" w:rsidP="00652087">
            <w:pPr>
              <w:pStyle w:val="TableText"/>
              <w:rPr>
                <w:b/>
                <w:bCs/>
                <w:sz w:val="20"/>
              </w:rPr>
            </w:pPr>
          </w:p>
          <w:p w14:paraId="319F6F64" w14:textId="77777777" w:rsidR="005D07EB" w:rsidRPr="00DE1573" w:rsidRDefault="005D07EB" w:rsidP="00652087">
            <w:pPr>
              <w:pStyle w:val="TableText"/>
              <w:rPr>
                <w:b/>
                <w:bCs/>
                <w:sz w:val="20"/>
              </w:rPr>
            </w:pPr>
            <w:r w:rsidRPr="00DE1573">
              <w:rPr>
                <w:b/>
                <w:bCs/>
                <w:sz w:val="20"/>
              </w:rPr>
              <w:t xml:space="preserve">Name of </w:t>
            </w:r>
            <w:r w:rsidR="00C87AE0" w:rsidRPr="00DE1573">
              <w:rPr>
                <w:b/>
                <w:bCs/>
                <w:sz w:val="20"/>
              </w:rPr>
              <w:t>Vete</w:t>
            </w:r>
            <w:r w:rsidR="00AA10F5" w:rsidRPr="00DE1573">
              <w:rPr>
                <w:b/>
                <w:bCs/>
                <w:sz w:val="20"/>
              </w:rPr>
              <w:t>r</w:t>
            </w:r>
            <w:r w:rsidR="00C87AE0" w:rsidRPr="00DE1573">
              <w:rPr>
                <w:b/>
                <w:bCs/>
                <w:sz w:val="20"/>
              </w:rPr>
              <w:t>an</w:t>
            </w:r>
            <w:r w:rsidRPr="00DE1573">
              <w:rPr>
                <w:b/>
                <w:bCs/>
                <w:sz w:val="20"/>
              </w:rPr>
              <w:t>:  _______________________</w:t>
            </w:r>
          </w:p>
          <w:p w14:paraId="319F6F65" w14:textId="77777777" w:rsidR="005D07EB" w:rsidRPr="00DE1573" w:rsidRDefault="005D07EB" w:rsidP="00652087">
            <w:pPr>
              <w:pStyle w:val="TableText"/>
              <w:rPr>
                <w:b/>
                <w:bCs/>
                <w:sz w:val="20"/>
              </w:rPr>
            </w:pPr>
            <w:r w:rsidRPr="00DE1573">
              <w:rPr>
                <w:b/>
                <w:bCs/>
                <w:sz w:val="20"/>
              </w:rPr>
              <w:t>C#: ______________________</w:t>
            </w:r>
          </w:p>
          <w:p w14:paraId="319F6F66" w14:textId="77777777" w:rsidR="005D07EB" w:rsidRPr="00DE1573" w:rsidRDefault="005D07EB" w:rsidP="00652087">
            <w:pPr>
              <w:pStyle w:val="TableText"/>
              <w:rPr>
                <w:b/>
                <w:bCs/>
                <w:sz w:val="20"/>
              </w:rPr>
            </w:pPr>
            <w:r w:rsidRPr="00DE1573">
              <w:rPr>
                <w:b/>
                <w:bCs/>
                <w:sz w:val="20"/>
              </w:rPr>
              <w:t>Social Security Number: ______________________</w:t>
            </w:r>
          </w:p>
          <w:p w14:paraId="319F6F67" w14:textId="77777777" w:rsidR="005D07EB" w:rsidRPr="00DE1573" w:rsidRDefault="005D07EB" w:rsidP="00652087">
            <w:pPr>
              <w:pStyle w:val="TableText"/>
              <w:rPr>
                <w:b/>
                <w:bCs/>
                <w:sz w:val="20"/>
              </w:rPr>
            </w:pPr>
          </w:p>
          <w:p w14:paraId="319F6F68" w14:textId="77777777" w:rsidR="005D07EB" w:rsidRPr="00DE1573" w:rsidRDefault="005D07EB" w:rsidP="00652087">
            <w:pPr>
              <w:pStyle w:val="TableText"/>
              <w:rPr>
                <w:b/>
                <w:bCs/>
                <w:sz w:val="20"/>
              </w:rPr>
            </w:pPr>
            <w:r w:rsidRPr="00DE1573">
              <w:rPr>
                <w:b/>
                <w:bCs/>
                <w:sz w:val="20"/>
              </w:rPr>
              <w:t>MOS/Specialty:  _______________________</w:t>
            </w:r>
          </w:p>
          <w:p w14:paraId="319F6F69" w14:textId="77777777" w:rsidR="005D07EB" w:rsidRPr="00DE1573" w:rsidRDefault="005D07EB" w:rsidP="00652087">
            <w:pPr>
              <w:pStyle w:val="TableText"/>
              <w:rPr>
                <w:b/>
                <w:bCs/>
                <w:sz w:val="20"/>
              </w:rPr>
            </w:pPr>
            <w:r w:rsidRPr="00DE1573">
              <w:rPr>
                <w:b/>
                <w:bCs/>
                <w:sz w:val="20"/>
              </w:rPr>
              <w:t>Branch of Service and component: _________________________</w:t>
            </w:r>
          </w:p>
          <w:p w14:paraId="319F6F6A" w14:textId="77777777" w:rsidR="005D07EB" w:rsidRPr="00DE1573" w:rsidRDefault="005D07EB" w:rsidP="00652087">
            <w:pPr>
              <w:pStyle w:val="TableText"/>
              <w:rPr>
                <w:b/>
                <w:bCs/>
                <w:sz w:val="20"/>
              </w:rPr>
            </w:pPr>
            <w:r w:rsidRPr="00DE1573">
              <w:rPr>
                <w:b/>
                <w:bCs/>
                <w:sz w:val="20"/>
              </w:rPr>
              <w:t>Rank/Grade:  _________________________</w:t>
            </w:r>
          </w:p>
          <w:p w14:paraId="319F6F6B" w14:textId="77777777" w:rsidR="005D07EB" w:rsidRPr="00DE1573" w:rsidRDefault="005D07EB" w:rsidP="00652087">
            <w:pPr>
              <w:pStyle w:val="TableText"/>
              <w:rPr>
                <w:b/>
                <w:bCs/>
                <w:sz w:val="20"/>
              </w:rPr>
            </w:pPr>
          </w:p>
          <w:p w14:paraId="319F6F6C" w14:textId="77777777" w:rsidR="005D07EB" w:rsidRPr="00DE1573" w:rsidRDefault="005D07EB" w:rsidP="00652087">
            <w:pPr>
              <w:pStyle w:val="TableText"/>
              <w:rPr>
                <w:b/>
                <w:bCs/>
                <w:sz w:val="20"/>
              </w:rPr>
            </w:pPr>
            <w:r w:rsidRPr="00DE1573">
              <w:rPr>
                <w:b/>
                <w:bCs/>
                <w:sz w:val="20"/>
              </w:rPr>
              <w:t>Special Operations tour of duty dates:  From: ________  To: _________</w:t>
            </w:r>
          </w:p>
          <w:p w14:paraId="319F6F6D" w14:textId="77777777" w:rsidR="005D07EB" w:rsidRPr="00DE1573" w:rsidRDefault="005D07EB" w:rsidP="00652087">
            <w:pPr>
              <w:pStyle w:val="TableText"/>
              <w:rPr>
                <w:b/>
                <w:bCs/>
                <w:sz w:val="20"/>
              </w:rPr>
            </w:pPr>
          </w:p>
          <w:p w14:paraId="319F6F6E" w14:textId="77777777" w:rsidR="005D07EB" w:rsidRPr="00DE1573" w:rsidRDefault="005D07EB" w:rsidP="00652087">
            <w:pPr>
              <w:pStyle w:val="TableText"/>
              <w:rPr>
                <w:b/>
                <w:bCs/>
                <w:sz w:val="20"/>
              </w:rPr>
            </w:pPr>
            <w:r w:rsidRPr="00DE1573">
              <w:rPr>
                <w:b/>
                <w:bCs/>
                <w:sz w:val="20"/>
              </w:rPr>
              <w:t xml:space="preserve">If not assigned, </w:t>
            </w:r>
            <w:r w:rsidR="00C87AE0" w:rsidRPr="00DE1573">
              <w:rPr>
                <w:b/>
                <w:bCs/>
                <w:sz w:val="20"/>
              </w:rPr>
              <w:t>Veteran</w:t>
            </w:r>
            <w:r w:rsidRPr="00DE1573">
              <w:rPr>
                <w:b/>
                <w:bCs/>
                <w:sz w:val="20"/>
              </w:rPr>
              <w:t xml:space="preserve"> was attached to which Special Ops Unit/Service: _________</w:t>
            </w:r>
          </w:p>
          <w:p w14:paraId="319F6F6F" w14:textId="77777777" w:rsidR="005D07EB" w:rsidRPr="00DE1573" w:rsidRDefault="005D07EB" w:rsidP="00652087">
            <w:pPr>
              <w:pStyle w:val="TableText"/>
              <w:rPr>
                <w:b/>
                <w:bCs/>
                <w:sz w:val="20"/>
              </w:rPr>
            </w:pPr>
          </w:p>
          <w:p w14:paraId="319F6F70" w14:textId="77777777" w:rsidR="005D07EB" w:rsidRPr="00DE1573" w:rsidRDefault="005D07EB" w:rsidP="00652087">
            <w:pPr>
              <w:pStyle w:val="TableText"/>
              <w:rPr>
                <w:b/>
                <w:bCs/>
                <w:sz w:val="20"/>
              </w:rPr>
            </w:pPr>
            <w:r w:rsidRPr="00DE1573">
              <w:rPr>
                <w:b/>
                <w:bCs/>
                <w:sz w:val="20"/>
              </w:rPr>
              <w:t>From: ___________  To: __________</w:t>
            </w:r>
          </w:p>
          <w:p w14:paraId="319F6F71" w14:textId="77777777" w:rsidR="005D07EB" w:rsidRPr="00DE1573" w:rsidRDefault="005D07EB" w:rsidP="00652087">
            <w:pPr>
              <w:pStyle w:val="TableText"/>
              <w:rPr>
                <w:b/>
                <w:bCs/>
                <w:sz w:val="20"/>
              </w:rPr>
            </w:pPr>
          </w:p>
          <w:p w14:paraId="319F6F72" w14:textId="77777777" w:rsidR="005D07EB" w:rsidRPr="00DE1573" w:rsidRDefault="005D07EB" w:rsidP="00652087">
            <w:pPr>
              <w:pStyle w:val="TableText"/>
              <w:rPr>
                <w:b/>
                <w:bCs/>
                <w:sz w:val="20"/>
              </w:rPr>
            </w:pPr>
            <w:r w:rsidRPr="00DE1573">
              <w:rPr>
                <w:b/>
                <w:bCs/>
                <w:sz w:val="20"/>
              </w:rPr>
              <w:t>Was the operation classified:  Yes ___  No ___</w:t>
            </w:r>
          </w:p>
          <w:p w14:paraId="319F6F73" w14:textId="77777777" w:rsidR="005D07EB" w:rsidRPr="00DE1573" w:rsidRDefault="005D07EB" w:rsidP="00652087">
            <w:pPr>
              <w:pStyle w:val="TableText"/>
              <w:rPr>
                <w:b/>
                <w:bCs/>
                <w:sz w:val="20"/>
              </w:rPr>
            </w:pPr>
          </w:p>
          <w:p w14:paraId="319F6F74" w14:textId="77777777" w:rsidR="005D07EB" w:rsidRPr="00DE1573" w:rsidRDefault="005D07EB" w:rsidP="00652087">
            <w:pPr>
              <w:pStyle w:val="TableText"/>
              <w:rPr>
                <w:b/>
                <w:bCs/>
                <w:sz w:val="20"/>
              </w:rPr>
            </w:pPr>
            <w:r w:rsidRPr="00DE1573">
              <w:rPr>
                <w:b/>
                <w:bCs/>
                <w:sz w:val="20"/>
              </w:rPr>
              <w:t xml:space="preserve">List a brief description of the incidents reported by the </w:t>
            </w:r>
            <w:r w:rsidR="00C87AE0" w:rsidRPr="00DE1573">
              <w:rPr>
                <w:b/>
                <w:bCs/>
                <w:sz w:val="20"/>
              </w:rPr>
              <w:t>Veteran</w:t>
            </w:r>
            <w:r w:rsidRPr="00DE1573">
              <w:rPr>
                <w:b/>
                <w:bCs/>
                <w:sz w:val="20"/>
              </w:rPr>
              <w:t>:</w:t>
            </w:r>
          </w:p>
          <w:p w14:paraId="319F6F75" w14:textId="77777777" w:rsidR="005D07EB" w:rsidRPr="00DE1573" w:rsidRDefault="005D07EB" w:rsidP="00652087">
            <w:pPr>
              <w:pStyle w:val="TableText"/>
              <w:rPr>
                <w:b/>
                <w:bCs/>
                <w:sz w:val="20"/>
              </w:rPr>
            </w:pPr>
          </w:p>
          <w:p w14:paraId="319F6F76" w14:textId="77777777" w:rsidR="005D07EB" w:rsidRPr="00DE1573" w:rsidRDefault="005D07EB" w:rsidP="00652087">
            <w:pPr>
              <w:pStyle w:val="TableText"/>
              <w:rPr>
                <w:b/>
                <w:bCs/>
                <w:sz w:val="20"/>
              </w:rPr>
            </w:pPr>
            <w:r w:rsidRPr="00DE1573">
              <w:rPr>
                <w:b/>
                <w:bCs/>
                <w:sz w:val="20"/>
              </w:rPr>
              <w:t>Incident(s):  Were the incidents classified:  Yes ______ No _____</w:t>
            </w:r>
          </w:p>
          <w:p w14:paraId="319F6F77" w14:textId="77777777" w:rsidR="005D07EB" w:rsidRPr="00DE1573" w:rsidRDefault="005D07EB" w:rsidP="00652087">
            <w:pPr>
              <w:pStyle w:val="TableText"/>
              <w:rPr>
                <w:b/>
                <w:bCs/>
                <w:sz w:val="22"/>
              </w:rPr>
            </w:pPr>
          </w:p>
          <w:p w14:paraId="319F6F78" w14:textId="77777777" w:rsidR="005D07EB" w:rsidRPr="00DE1573" w:rsidRDefault="005D07EB" w:rsidP="00652087">
            <w:pPr>
              <w:pStyle w:val="TableText"/>
              <w:rPr>
                <w:sz w:val="20"/>
              </w:rPr>
            </w:pPr>
            <w:r w:rsidRPr="00DE1573">
              <w:rPr>
                <w:sz w:val="20"/>
              </w:rPr>
              <w:t>Date of incident #1 (60-day range):  _________________</w:t>
            </w:r>
          </w:p>
          <w:p w14:paraId="319F6F79" w14:textId="77777777" w:rsidR="005D07EB" w:rsidRPr="00DE1573" w:rsidRDefault="005D07EB" w:rsidP="00652087">
            <w:pPr>
              <w:pStyle w:val="TableText"/>
              <w:rPr>
                <w:sz w:val="20"/>
              </w:rPr>
            </w:pPr>
            <w:r w:rsidRPr="00DE1573">
              <w:rPr>
                <w:sz w:val="20"/>
              </w:rPr>
              <w:t>Location of incident: ________________________</w:t>
            </w:r>
          </w:p>
          <w:p w14:paraId="319F6F7A" w14:textId="77777777" w:rsidR="005D07EB" w:rsidRPr="00DE1573" w:rsidRDefault="005D07EB" w:rsidP="00652087">
            <w:pPr>
              <w:pStyle w:val="TableText"/>
              <w:rPr>
                <w:sz w:val="20"/>
              </w:rPr>
            </w:pPr>
            <w:r w:rsidRPr="00DE1573">
              <w:rPr>
                <w:sz w:val="20"/>
              </w:rPr>
              <w:t>Specific information regarding incident: ___________________________</w:t>
            </w:r>
          </w:p>
          <w:p w14:paraId="319F6F7B" w14:textId="77777777" w:rsidR="005D07EB" w:rsidRPr="00DE1573" w:rsidRDefault="005D07EB" w:rsidP="00652087">
            <w:pPr>
              <w:pStyle w:val="TableText"/>
              <w:rPr>
                <w:sz w:val="20"/>
              </w:rPr>
            </w:pPr>
            <w:r w:rsidRPr="00DE1573">
              <w:rPr>
                <w:sz w:val="20"/>
              </w:rPr>
              <w:t>____________________________________________________________</w:t>
            </w:r>
          </w:p>
          <w:p w14:paraId="319F6F7C" w14:textId="77777777" w:rsidR="005D07EB" w:rsidRPr="00DE1573" w:rsidRDefault="005D07EB" w:rsidP="00652087">
            <w:pPr>
              <w:pStyle w:val="TableText"/>
              <w:rPr>
                <w:sz w:val="20"/>
              </w:rPr>
            </w:pPr>
            <w:r w:rsidRPr="00DE1573">
              <w:rPr>
                <w:sz w:val="20"/>
              </w:rPr>
              <w:t>____________________________________________________________</w:t>
            </w:r>
          </w:p>
          <w:p w14:paraId="319F6F7D" w14:textId="77777777" w:rsidR="005D07EB" w:rsidRPr="00DE1573" w:rsidRDefault="005D07EB" w:rsidP="00652087">
            <w:pPr>
              <w:pStyle w:val="TableText"/>
              <w:jc w:val="both"/>
              <w:rPr>
                <w:sz w:val="20"/>
              </w:rPr>
            </w:pPr>
          </w:p>
          <w:p w14:paraId="319F6F7E" w14:textId="77777777" w:rsidR="005D07EB" w:rsidRPr="00DE1573" w:rsidRDefault="005D07EB" w:rsidP="00652087">
            <w:pPr>
              <w:pStyle w:val="TableText"/>
              <w:jc w:val="both"/>
              <w:rPr>
                <w:sz w:val="20"/>
              </w:rPr>
            </w:pPr>
            <w:r w:rsidRPr="00DE1573">
              <w:rPr>
                <w:sz w:val="20"/>
              </w:rPr>
              <w:t>Date of incident #2 (60-day range):  _________________</w:t>
            </w:r>
          </w:p>
          <w:p w14:paraId="319F6F7F" w14:textId="77777777" w:rsidR="005D07EB" w:rsidRPr="00DE1573" w:rsidRDefault="005D07EB" w:rsidP="00652087">
            <w:pPr>
              <w:pStyle w:val="TableText"/>
              <w:jc w:val="both"/>
              <w:rPr>
                <w:sz w:val="20"/>
              </w:rPr>
            </w:pPr>
            <w:r w:rsidRPr="00DE1573">
              <w:rPr>
                <w:sz w:val="20"/>
              </w:rPr>
              <w:t>Location of incident: ________________________</w:t>
            </w:r>
          </w:p>
          <w:p w14:paraId="319F6F80" w14:textId="77777777" w:rsidR="005D07EB" w:rsidRPr="00DE1573" w:rsidRDefault="005D07EB" w:rsidP="00652087">
            <w:pPr>
              <w:pStyle w:val="TableText"/>
              <w:jc w:val="both"/>
              <w:rPr>
                <w:sz w:val="20"/>
              </w:rPr>
            </w:pPr>
            <w:r w:rsidRPr="00DE1573">
              <w:rPr>
                <w:sz w:val="20"/>
              </w:rPr>
              <w:t>Specific information regarding incident: ___________________________</w:t>
            </w:r>
          </w:p>
          <w:p w14:paraId="319F6F81" w14:textId="77777777" w:rsidR="005D07EB" w:rsidRPr="00DE1573" w:rsidRDefault="005D07EB" w:rsidP="00652087">
            <w:pPr>
              <w:pStyle w:val="TableText"/>
              <w:jc w:val="both"/>
              <w:rPr>
                <w:sz w:val="20"/>
              </w:rPr>
            </w:pPr>
            <w:r w:rsidRPr="00DE1573">
              <w:rPr>
                <w:sz w:val="20"/>
              </w:rPr>
              <w:t>____________________________________________________________</w:t>
            </w:r>
          </w:p>
          <w:p w14:paraId="319F6F82" w14:textId="77777777" w:rsidR="005D07EB" w:rsidRPr="00DE1573" w:rsidRDefault="005D07EB" w:rsidP="00652087">
            <w:pPr>
              <w:pStyle w:val="TableText"/>
              <w:jc w:val="both"/>
              <w:rPr>
                <w:sz w:val="20"/>
              </w:rPr>
            </w:pPr>
            <w:r w:rsidRPr="00DE1573">
              <w:rPr>
                <w:sz w:val="20"/>
              </w:rPr>
              <w:t>____________________________________________________________</w:t>
            </w:r>
          </w:p>
          <w:p w14:paraId="319F6F83" w14:textId="77777777" w:rsidR="005D07EB" w:rsidRPr="00DE1573" w:rsidRDefault="005D07EB" w:rsidP="00652087">
            <w:pPr>
              <w:pStyle w:val="TableText"/>
              <w:jc w:val="both"/>
              <w:rPr>
                <w:sz w:val="20"/>
              </w:rPr>
            </w:pPr>
          </w:p>
          <w:p w14:paraId="319F6F84" w14:textId="77777777" w:rsidR="005D07EB" w:rsidRPr="00DE1573" w:rsidRDefault="005D07EB" w:rsidP="00652087">
            <w:pPr>
              <w:pStyle w:val="TableText"/>
              <w:jc w:val="both"/>
              <w:rPr>
                <w:b/>
                <w:bCs/>
                <w:sz w:val="20"/>
              </w:rPr>
            </w:pPr>
            <w:r w:rsidRPr="00DE1573">
              <w:rPr>
                <w:b/>
                <w:bCs/>
                <w:sz w:val="20"/>
              </w:rPr>
              <w:t>Submitted by (print): _______________________</w:t>
            </w:r>
          </w:p>
          <w:p w14:paraId="319F6F85" w14:textId="77777777" w:rsidR="005D07EB" w:rsidRPr="00DE1573" w:rsidRDefault="005D07EB" w:rsidP="00652087">
            <w:pPr>
              <w:pStyle w:val="TableText"/>
              <w:jc w:val="both"/>
              <w:rPr>
                <w:b/>
                <w:bCs/>
                <w:sz w:val="20"/>
              </w:rPr>
            </w:pPr>
            <w:r w:rsidRPr="00DE1573">
              <w:rPr>
                <w:b/>
                <w:bCs/>
                <w:sz w:val="20"/>
              </w:rPr>
              <w:t>VARO: _________________________</w:t>
            </w:r>
          </w:p>
          <w:p w14:paraId="319F6F86" w14:textId="77777777" w:rsidR="005D07EB" w:rsidRPr="00DE1573" w:rsidRDefault="005D07EB" w:rsidP="00652087">
            <w:pPr>
              <w:pStyle w:val="TableText"/>
              <w:jc w:val="both"/>
              <w:rPr>
                <w:sz w:val="20"/>
              </w:rPr>
            </w:pPr>
            <w:r w:rsidRPr="00DE1573">
              <w:rPr>
                <w:b/>
                <w:bCs/>
                <w:sz w:val="20"/>
              </w:rPr>
              <w:t>Telephone number: ________________________</w:t>
            </w:r>
          </w:p>
          <w:p w14:paraId="319F6F87" w14:textId="77777777" w:rsidR="005D07EB" w:rsidRPr="00DE1573" w:rsidRDefault="005D07EB" w:rsidP="00652087">
            <w:pPr>
              <w:pStyle w:val="TableText"/>
              <w:jc w:val="both"/>
              <w:rPr>
                <w:sz w:val="20"/>
              </w:rPr>
            </w:pPr>
          </w:p>
        </w:tc>
      </w:tr>
    </w:tbl>
    <w:p w14:paraId="319F6F8B" w14:textId="187A2E85"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F95" w14:textId="77777777" w:rsidTr="0086260E">
        <w:tc>
          <w:tcPr>
            <w:tcW w:w="1728" w:type="dxa"/>
          </w:tcPr>
          <w:p w14:paraId="319F6F8C" w14:textId="083A2A2D" w:rsidR="005D07EB" w:rsidRPr="00DE1573" w:rsidRDefault="00B6776C" w:rsidP="00B6776C">
            <w:pPr>
              <w:pStyle w:val="Heading5"/>
            </w:pPr>
            <w:proofErr w:type="gramStart"/>
            <w:r w:rsidRPr="00DE1573">
              <w:t>d</w:t>
            </w:r>
            <w:r w:rsidR="005D07EB" w:rsidRPr="00DE1573">
              <w:t>.  Responses</w:t>
            </w:r>
            <w:proofErr w:type="gramEnd"/>
            <w:r w:rsidR="005D07EB" w:rsidRPr="00DE1573">
              <w:t xml:space="preserve"> From USSOCOM</w:t>
            </w:r>
          </w:p>
        </w:tc>
        <w:tc>
          <w:tcPr>
            <w:tcW w:w="7740" w:type="dxa"/>
          </w:tcPr>
          <w:p w14:paraId="319F6F8D" w14:textId="6E619160" w:rsidR="005D07EB" w:rsidRPr="00DE1573" w:rsidRDefault="005D07EB">
            <w:pPr>
              <w:pStyle w:val="BlockText"/>
            </w:pPr>
            <w:r w:rsidRPr="00DE1573">
              <w:t xml:space="preserve">Upon receipt of a request from VA, </w:t>
            </w:r>
            <w:r w:rsidR="002413C2" w:rsidRPr="00DE1573">
              <w:t>U.S. Special Operations Command (</w:t>
            </w:r>
            <w:r w:rsidRPr="00DE1573">
              <w:t>USSOCOM</w:t>
            </w:r>
            <w:r w:rsidR="002413C2" w:rsidRPr="00DE1573">
              <w:t>)</w:t>
            </w:r>
            <w:r w:rsidRPr="00DE1573">
              <w:t xml:space="preserve"> will research each claimed incident and provide</w:t>
            </w:r>
          </w:p>
          <w:p w14:paraId="319F6F8E" w14:textId="77777777" w:rsidR="005D07EB" w:rsidRPr="00DE1573" w:rsidRDefault="005D07EB">
            <w:pPr>
              <w:pStyle w:val="BlockText"/>
            </w:pPr>
          </w:p>
          <w:p w14:paraId="319F6F8F" w14:textId="77777777" w:rsidR="005D07EB" w:rsidRPr="00DE1573" w:rsidRDefault="005D07EB">
            <w:pPr>
              <w:pStyle w:val="BulletText1"/>
            </w:pPr>
            <w:r w:rsidRPr="00DE1573">
              <w:t>a “sanitized” summary of its research, or</w:t>
            </w:r>
          </w:p>
          <w:p w14:paraId="319F6F90" w14:textId="77777777" w:rsidR="005D07EB" w:rsidRPr="00DE1573" w:rsidRDefault="005D07EB">
            <w:pPr>
              <w:pStyle w:val="BulletText1"/>
            </w:pPr>
            <w:proofErr w:type="gramStart"/>
            <w:r w:rsidRPr="00DE1573">
              <w:t>a</w:t>
            </w:r>
            <w:proofErr w:type="gramEnd"/>
            <w:r w:rsidRPr="00DE1573">
              <w:t xml:space="preserve"> negative reply, if it finds no information.</w:t>
            </w:r>
          </w:p>
          <w:p w14:paraId="319F6F91" w14:textId="77777777" w:rsidR="005D07EB" w:rsidRPr="00DE1573" w:rsidRDefault="005D07EB">
            <w:pPr>
              <w:pStyle w:val="BlockText"/>
            </w:pPr>
          </w:p>
          <w:p w14:paraId="319F6F92" w14:textId="77777777" w:rsidR="005D07EB" w:rsidRPr="00DE1573" w:rsidRDefault="005D07EB">
            <w:pPr>
              <w:pStyle w:val="BlockText"/>
            </w:pPr>
            <w:r w:rsidRPr="00DE1573">
              <w:rPr>
                <w:b/>
                <w:bCs/>
                <w:i/>
                <w:iCs/>
              </w:rPr>
              <w:t>Notes</w:t>
            </w:r>
            <w:r w:rsidRPr="00DE1573">
              <w:t>:</w:t>
            </w:r>
          </w:p>
          <w:p w14:paraId="319F6F93" w14:textId="77777777" w:rsidR="005D07EB" w:rsidRPr="00DE1573" w:rsidRDefault="005D07EB">
            <w:pPr>
              <w:pStyle w:val="BulletText1"/>
            </w:pPr>
            <w:r w:rsidRPr="00DE1573">
              <w:t xml:space="preserve">The response will </w:t>
            </w:r>
            <w:r w:rsidRPr="00DE1573">
              <w:rPr>
                <w:i/>
                <w:iCs/>
              </w:rPr>
              <w:t>not</w:t>
            </w:r>
            <w:r w:rsidRPr="00DE1573">
              <w:t xml:space="preserve"> include copies of documentation related to claimed incidents.</w:t>
            </w:r>
          </w:p>
          <w:p w14:paraId="319F6F94" w14:textId="77777777" w:rsidR="005D07EB" w:rsidRPr="00DE1573" w:rsidRDefault="005D07EB">
            <w:pPr>
              <w:pStyle w:val="BulletText1"/>
            </w:pPr>
            <w:r w:rsidRPr="00DE1573">
              <w:t>For certain incidents, USSOCOM may report that it cannot release any information.</w:t>
            </w:r>
          </w:p>
        </w:tc>
      </w:tr>
    </w:tbl>
    <w:p w14:paraId="319F6F96" w14:textId="0C962F7F"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FA2" w14:textId="77777777">
        <w:trPr>
          <w:cantSplit/>
        </w:trPr>
        <w:tc>
          <w:tcPr>
            <w:tcW w:w="1728" w:type="dxa"/>
          </w:tcPr>
          <w:p w14:paraId="319F6F97" w14:textId="3A70A5BD" w:rsidR="005D07EB" w:rsidRPr="00DE1573" w:rsidRDefault="00B6776C">
            <w:pPr>
              <w:pStyle w:val="Heading5"/>
            </w:pPr>
            <w:proofErr w:type="gramStart"/>
            <w:r w:rsidRPr="00DE1573">
              <w:lastRenderedPageBreak/>
              <w:t>e</w:t>
            </w:r>
            <w:r w:rsidR="005D07EB" w:rsidRPr="00DE1573">
              <w:t>.  Classified</w:t>
            </w:r>
            <w:proofErr w:type="gramEnd"/>
            <w:r w:rsidR="005D07EB" w:rsidRPr="00DE1573">
              <w:t xml:space="preserve"> Service Records</w:t>
            </w:r>
            <w:r w:rsidR="008148FB" w:rsidRPr="00DE1573">
              <w:t xml:space="preserve"> Received From USSOCOM</w:t>
            </w:r>
            <w:r w:rsidR="005D07EB" w:rsidRPr="00DE1573">
              <w:t xml:space="preserve">  </w:t>
            </w:r>
          </w:p>
        </w:tc>
        <w:tc>
          <w:tcPr>
            <w:tcW w:w="7740" w:type="dxa"/>
          </w:tcPr>
          <w:p w14:paraId="319F6F98" w14:textId="77777777" w:rsidR="005D07EB" w:rsidRPr="00DE1573" w:rsidRDefault="005D07EB">
            <w:pPr>
              <w:pStyle w:val="BlockText"/>
            </w:pPr>
            <w:r w:rsidRPr="00DE1573">
              <w:t xml:space="preserve">Classified service records received from </w:t>
            </w:r>
            <w:r w:rsidR="008148FB" w:rsidRPr="00DE1573">
              <w:t>USSOCOM</w:t>
            </w:r>
            <w:r w:rsidRPr="00DE1573">
              <w:t xml:space="preserve"> </w:t>
            </w:r>
          </w:p>
          <w:p w14:paraId="319F6F99" w14:textId="77777777" w:rsidR="005D07EB" w:rsidRPr="00DE1573" w:rsidRDefault="005D07EB">
            <w:pPr>
              <w:pStyle w:val="BlockText"/>
            </w:pPr>
          </w:p>
          <w:p w14:paraId="319F6F9A" w14:textId="77777777" w:rsidR="005D07EB" w:rsidRPr="00DE1573" w:rsidRDefault="005D07EB">
            <w:pPr>
              <w:pStyle w:val="BulletText1"/>
            </w:pPr>
            <w:r w:rsidRPr="00DE1573">
              <w:t>will often be from a casualty report</w:t>
            </w:r>
          </w:p>
          <w:p w14:paraId="319F6F9B" w14:textId="77777777" w:rsidR="005D07EB" w:rsidRPr="00DE1573" w:rsidRDefault="005D07EB">
            <w:pPr>
              <w:pStyle w:val="BulletText1"/>
            </w:pPr>
            <w:r w:rsidRPr="00DE1573">
              <w:t>may be limited to</w:t>
            </w:r>
          </w:p>
          <w:p w14:paraId="319F6F9C" w14:textId="77777777" w:rsidR="005D07EB" w:rsidRPr="00DE1573" w:rsidRDefault="005D07EB">
            <w:pPr>
              <w:pStyle w:val="BulletText2"/>
            </w:pPr>
            <w:r w:rsidRPr="00DE1573">
              <w:t>the date of the injury</w:t>
            </w:r>
          </w:p>
          <w:p w14:paraId="319F6F9D" w14:textId="77777777" w:rsidR="005D07EB" w:rsidRPr="00DE1573" w:rsidRDefault="005D07EB">
            <w:pPr>
              <w:pStyle w:val="BulletText2"/>
            </w:pPr>
            <w:r w:rsidRPr="00DE1573">
              <w:t>the location where the injury occurred, and/or</w:t>
            </w:r>
          </w:p>
          <w:p w14:paraId="319F6F9E" w14:textId="77777777" w:rsidR="005D07EB" w:rsidRPr="00DE1573" w:rsidRDefault="005D07EB">
            <w:pPr>
              <w:pStyle w:val="BulletText2"/>
            </w:pPr>
            <w:r w:rsidRPr="00DE1573">
              <w:t>a brief description of the injury or illness, or</w:t>
            </w:r>
          </w:p>
          <w:p w14:paraId="319F6F9F" w14:textId="77777777" w:rsidR="005D07EB" w:rsidRPr="00DE1573" w:rsidRDefault="005D07EB">
            <w:pPr>
              <w:pStyle w:val="BulletText1"/>
            </w:pPr>
            <w:proofErr w:type="gramStart"/>
            <w:r w:rsidRPr="00DE1573">
              <w:t>may</w:t>
            </w:r>
            <w:proofErr w:type="gramEnd"/>
            <w:r w:rsidRPr="00DE1573">
              <w:t xml:space="preserve"> only confirm that the </w:t>
            </w:r>
            <w:r w:rsidR="00C87AE0" w:rsidRPr="00DE1573">
              <w:t>Veteran</w:t>
            </w:r>
            <w:r w:rsidRPr="00DE1573">
              <w:t xml:space="preserve"> participated in Special Operations, because the operation is still considered classified.</w:t>
            </w:r>
          </w:p>
          <w:p w14:paraId="319F6FA0" w14:textId="77777777" w:rsidR="005D07EB" w:rsidRPr="00DE1573" w:rsidRDefault="005D07EB">
            <w:pPr>
              <w:pStyle w:val="BlockText"/>
            </w:pPr>
          </w:p>
          <w:p w14:paraId="319F6FA1" w14:textId="53B5778E" w:rsidR="005D07EB" w:rsidRPr="00DE1573" w:rsidRDefault="005D07EB">
            <w:pPr>
              <w:pStyle w:val="BlockText"/>
            </w:pPr>
            <w:r w:rsidRPr="00DE1573">
              <w:rPr>
                <w:b/>
                <w:bCs/>
                <w:i/>
                <w:iCs/>
              </w:rPr>
              <w:t>Note</w:t>
            </w:r>
            <w:r w:rsidRPr="00DE1573">
              <w:t xml:space="preserve">:  Because Special Operations have the characteristics of combat, </w:t>
            </w:r>
            <w:hyperlink r:id="rId27" w:history="1">
              <w:r w:rsidR="00C87AE0" w:rsidRPr="00DE1573">
                <w:rPr>
                  <w:rStyle w:val="Hyperlink"/>
                </w:rPr>
                <w:t>38 CFR</w:t>
              </w:r>
              <w:r w:rsidRPr="00DE1573">
                <w:rPr>
                  <w:rStyle w:val="Hyperlink"/>
                </w:rPr>
                <w:t xml:space="preserve"> 3.304(d)</w:t>
              </w:r>
            </w:hyperlink>
            <w:r w:rsidRPr="00DE1573">
              <w:t xml:space="preserve"> will apply in all cases where a </w:t>
            </w:r>
            <w:r w:rsidR="00C87AE0" w:rsidRPr="00DE1573">
              <w:t>Veteran</w:t>
            </w:r>
            <w:r w:rsidRPr="00DE1573">
              <w:t>’s participation in Special Operations is confirmed.</w:t>
            </w:r>
          </w:p>
        </w:tc>
      </w:tr>
    </w:tbl>
    <w:p w14:paraId="319F6FA3" w14:textId="77777777" w:rsidR="005D07EB" w:rsidRPr="00DE1573" w:rsidRDefault="005D07EB">
      <w:pPr>
        <w:pStyle w:val="BlockLine"/>
      </w:pPr>
      <w:r w:rsidRPr="00DE1573">
        <w:t xml:space="preserve"> </w:t>
      </w:r>
    </w:p>
    <w:p w14:paraId="319F6FA4" w14:textId="7E2FB4F6" w:rsidR="005D07EB" w:rsidRPr="00DE1573" w:rsidRDefault="005D07EB">
      <w:pPr>
        <w:pStyle w:val="Heading4"/>
      </w:pPr>
      <w:r w:rsidRPr="00DE1573">
        <w:br w:type="page"/>
      </w:r>
      <w:r w:rsidR="00327641" w:rsidRPr="00DE1573">
        <w:lastRenderedPageBreak/>
        <w:t>6</w:t>
      </w:r>
      <w:r w:rsidRPr="00DE1573">
        <w:t>.  Developing Claims Based on Exposure to Environmental Hazards</w:t>
      </w:r>
    </w:p>
    <w:p w14:paraId="319F6FA5" w14:textId="7904D68B" w:rsidR="005D07EB" w:rsidRPr="00DE1573" w:rsidRDefault="005D07EB">
      <w:pPr>
        <w:pStyle w:val="BlockLine"/>
      </w:pPr>
    </w:p>
    <w:tbl>
      <w:tblPr>
        <w:tblW w:w="0" w:type="auto"/>
        <w:tblLayout w:type="fixed"/>
        <w:tblLook w:val="0000" w:firstRow="0" w:lastRow="0" w:firstColumn="0" w:lastColumn="0" w:noHBand="0" w:noVBand="0"/>
      </w:tblPr>
      <w:tblGrid>
        <w:gridCol w:w="1728"/>
        <w:gridCol w:w="7740"/>
      </w:tblGrid>
      <w:tr w:rsidR="005D07EB" w:rsidRPr="00DE1573" w14:paraId="319F6FB4" w14:textId="77777777">
        <w:trPr>
          <w:cantSplit/>
        </w:trPr>
        <w:tc>
          <w:tcPr>
            <w:tcW w:w="1728" w:type="dxa"/>
          </w:tcPr>
          <w:p w14:paraId="319F6FA6" w14:textId="77777777" w:rsidR="005D07EB" w:rsidRPr="00DE1573" w:rsidRDefault="005D07EB">
            <w:pPr>
              <w:pStyle w:val="Heading5"/>
            </w:pPr>
            <w:r w:rsidRPr="00DE1573">
              <w:t>Introduction</w:t>
            </w:r>
          </w:p>
        </w:tc>
        <w:tc>
          <w:tcPr>
            <w:tcW w:w="7740" w:type="dxa"/>
          </w:tcPr>
          <w:p w14:paraId="319F6FA7" w14:textId="3B749D0E" w:rsidR="005D07EB" w:rsidRPr="00DE1573" w:rsidRDefault="005D07EB">
            <w:pPr>
              <w:pStyle w:val="BlockText"/>
            </w:pPr>
            <w:r w:rsidRPr="00DE1573">
              <w:t>This topic contains information on developing claims based on exposure to environmental hazards, including</w:t>
            </w:r>
          </w:p>
          <w:p w14:paraId="319F6FA8" w14:textId="77777777" w:rsidR="005D07EB" w:rsidRPr="00DE1573" w:rsidRDefault="005D07EB">
            <w:pPr>
              <w:pStyle w:val="BlockText"/>
            </w:pPr>
          </w:p>
          <w:p w14:paraId="319F6FA9" w14:textId="533F690A" w:rsidR="005D07EB" w:rsidRPr="00DE1573" w:rsidRDefault="005D07EB">
            <w:pPr>
              <w:pStyle w:val="BulletText1"/>
            </w:pPr>
            <w:r w:rsidRPr="00DE1573">
              <w:t>locations of specific environmental hazards</w:t>
            </w:r>
            <w:r w:rsidR="003753E5" w:rsidRPr="00DE1573">
              <w:t xml:space="preserve"> ident</w:t>
            </w:r>
            <w:r w:rsidR="002413C2" w:rsidRPr="00DE1573">
              <w:t>ified by</w:t>
            </w:r>
            <w:r w:rsidR="00247945" w:rsidRPr="00DE1573">
              <w:t xml:space="preserve"> Department of Defense</w:t>
            </w:r>
            <w:r w:rsidR="002413C2" w:rsidRPr="00DE1573">
              <w:t xml:space="preserve"> </w:t>
            </w:r>
            <w:r w:rsidR="00247945" w:rsidRPr="00DE1573">
              <w:t>(</w:t>
            </w:r>
            <w:r w:rsidR="003753E5" w:rsidRPr="00DE1573">
              <w:t>D</w:t>
            </w:r>
            <w:r w:rsidR="007770B1" w:rsidRPr="00DE1573">
              <w:t>o</w:t>
            </w:r>
            <w:r w:rsidR="003753E5" w:rsidRPr="00DE1573">
              <w:t>D</w:t>
            </w:r>
            <w:r w:rsidR="00247945" w:rsidRPr="00DE1573">
              <w:t>)</w:t>
            </w:r>
          </w:p>
          <w:p w14:paraId="319F6FAA" w14:textId="03B9F88F" w:rsidR="005D07EB" w:rsidRPr="00DE1573" w:rsidRDefault="003753E5">
            <w:pPr>
              <w:pStyle w:val="BulletText1"/>
            </w:pPr>
            <w:r w:rsidRPr="00DE1573">
              <w:t xml:space="preserve">environmental hazard </w:t>
            </w:r>
            <w:r w:rsidR="002413C2" w:rsidRPr="00DE1573">
              <w:t>EP</w:t>
            </w:r>
            <w:r w:rsidR="005D07EB" w:rsidRPr="00DE1573">
              <w:t xml:space="preserve"> control and tracking</w:t>
            </w:r>
          </w:p>
          <w:p w14:paraId="319F6FAB" w14:textId="77777777" w:rsidR="005D07EB" w:rsidRPr="00DE1573" w:rsidRDefault="005D07EB">
            <w:pPr>
              <w:pStyle w:val="BulletText1"/>
            </w:pPr>
            <w:r w:rsidRPr="00DE1573">
              <w:t xml:space="preserve">guidelines for developing </w:t>
            </w:r>
            <w:r w:rsidR="006431F5" w:rsidRPr="00DE1573">
              <w:t>environmental hazard claims</w:t>
            </w:r>
          </w:p>
          <w:p w14:paraId="319F6FAC" w14:textId="618D361A" w:rsidR="005D07EB" w:rsidRPr="00DE1573" w:rsidRDefault="005D07EB">
            <w:pPr>
              <w:pStyle w:val="BulletText1"/>
            </w:pPr>
            <w:r w:rsidRPr="00DE1573">
              <w:t>using DoD records to establish exposu</w:t>
            </w:r>
            <w:r w:rsidR="00A36A3A" w:rsidRPr="00DE1573">
              <w:t>re to environmental hazards</w:t>
            </w:r>
          </w:p>
          <w:p w14:paraId="319F6FAD" w14:textId="77777777" w:rsidR="005D07EB" w:rsidRPr="00DE1573" w:rsidRDefault="005D07EB">
            <w:pPr>
              <w:pStyle w:val="BulletText1"/>
            </w:pPr>
            <w:r w:rsidRPr="00DE1573">
              <w:t>using alternate evidence to establish exposure to envir</w:t>
            </w:r>
            <w:r w:rsidR="00A36A3A" w:rsidRPr="00DE1573">
              <w:t>onmental hazards</w:t>
            </w:r>
          </w:p>
          <w:p w14:paraId="02316708" w14:textId="3F13402D" w:rsidR="00570B52" w:rsidRPr="00DE1573" w:rsidRDefault="00570B52">
            <w:pPr>
              <w:pStyle w:val="BulletText1"/>
            </w:pPr>
            <w:r w:rsidRPr="00DE1573">
              <w:t>what to include in VA examination and/or medical opinion requests in environmental hazard claims</w:t>
            </w:r>
          </w:p>
          <w:p w14:paraId="319F6FAE" w14:textId="5A86E597" w:rsidR="00A36A3A" w:rsidRPr="00DE1573" w:rsidRDefault="00580413">
            <w:pPr>
              <w:pStyle w:val="BulletText1"/>
            </w:pPr>
            <w:r w:rsidRPr="00DE1573">
              <w:t>centralized processing</w:t>
            </w:r>
            <w:r w:rsidR="00F721A8" w:rsidRPr="00DE1573">
              <w:t xml:space="preserve"> of Camp Lejeune claims </w:t>
            </w:r>
            <w:r w:rsidRPr="00DE1573">
              <w:t>and appeals</w:t>
            </w:r>
            <w:r w:rsidR="00E05A3B" w:rsidRPr="00DE1573">
              <w:t xml:space="preserve"> to Louisville RO</w:t>
            </w:r>
          </w:p>
          <w:p w14:paraId="319F6FAF" w14:textId="42AD770E" w:rsidR="00F721A8" w:rsidRPr="00DE1573" w:rsidRDefault="00F721A8">
            <w:pPr>
              <w:pStyle w:val="BulletText1"/>
            </w:pPr>
            <w:r w:rsidRPr="00DE1573">
              <w:t>actions taken by the office of original jurisdiction (OOJ) upon receipt of a Camp Lejeune claim</w:t>
            </w:r>
            <w:r w:rsidR="00E05A3B" w:rsidRPr="00DE1573">
              <w:t xml:space="preserve"> or appeal</w:t>
            </w:r>
          </w:p>
          <w:p w14:paraId="319F6FB2" w14:textId="308D074A" w:rsidR="00F721A8" w:rsidRPr="00DE1573" w:rsidRDefault="002F2729">
            <w:pPr>
              <w:pStyle w:val="BulletText1"/>
            </w:pPr>
            <w:r w:rsidRPr="00DE1573">
              <w:t>actions taken by the Louisville RO upon receipt of a Camp Lejeune claim</w:t>
            </w:r>
            <w:r w:rsidR="00E05A3B" w:rsidRPr="00DE1573">
              <w:t xml:space="preserve"> or appeal</w:t>
            </w:r>
            <w:r w:rsidR="00F83CBC" w:rsidRPr="00DE1573">
              <w:t>, and</w:t>
            </w:r>
          </w:p>
          <w:p w14:paraId="319F6FB3" w14:textId="77777777" w:rsidR="00F83CBC" w:rsidRPr="00DE1573" w:rsidRDefault="00F83CBC">
            <w:pPr>
              <w:pStyle w:val="BulletText1"/>
            </w:pPr>
            <w:proofErr w:type="gramStart"/>
            <w:r w:rsidRPr="00DE1573">
              <w:t>verification</w:t>
            </w:r>
            <w:proofErr w:type="gramEnd"/>
            <w:r w:rsidRPr="00DE1573">
              <w:t xml:space="preserve"> of Camp Lejeune service.</w:t>
            </w:r>
          </w:p>
        </w:tc>
      </w:tr>
    </w:tbl>
    <w:p w14:paraId="319F6FB5" w14:textId="77777777" w:rsidR="005D07EB" w:rsidRPr="00DE1573" w:rsidRDefault="005D07EB">
      <w:pPr>
        <w:pStyle w:val="BlockLine"/>
      </w:pPr>
      <w:r w:rsidRPr="00DE1573">
        <w:t xml:space="preserve"> </w:t>
      </w:r>
    </w:p>
    <w:tbl>
      <w:tblPr>
        <w:tblW w:w="0" w:type="auto"/>
        <w:tblLayout w:type="fixed"/>
        <w:tblLook w:val="0000" w:firstRow="0" w:lastRow="0" w:firstColumn="0" w:lastColumn="0" w:noHBand="0" w:noVBand="0"/>
      </w:tblPr>
      <w:tblGrid>
        <w:gridCol w:w="1728"/>
        <w:gridCol w:w="7740"/>
      </w:tblGrid>
      <w:tr w:rsidR="005D07EB" w:rsidRPr="00DE1573" w14:paraId="319F6FB8" w14:textId="77777777">
        <w:trPr>
          <w:cantSplit/>
        </w:trPr>
        <w:tc>
          <w:tcPr>
            <w:tcW w:w="1728" w:type="dxa"/>
          </w:tcPr>
          <w:p w14:paraId="319F6FB6" w14:textId="77777777" w:rsidR="005D07EB" w:rsidRPr="00DE1573" w:rsidRDefault="005D07EB">
            <w:pPr>
              <w:pStyle w:val="Heading5"/>
            </w:pPr>
            <w:r w:rsidRPr="00DE1573">
              <w:t>Change Date</w:t>
            </w:r>
          </w:p>
        </w:tc>
        <w:tc>
          <w:tcPr>
            <w:tcW w:w="7740" w:type="dxa"/>
          </w:tcPr>
          <w:p w14:paraId="319F6FB7" w14:textId="2D5D62C6" w:rsidR="005D07EB" w:rsidRPr="00DE1573" w:rsidRDefault="007770B1">
            <w:pPr>
              <w:pStyle w:val="BlockText"/>
            </w:pPr>
            <w:r w:rsidRPr="00DE1573">
              <w:t>February 8, 2016</w:t>
            </w:r>
          </w:p>
        </w:tc>
      </w:tr>
    </w:tbl>
    <w:p w14:paraId="3A8632D7" w14:textId="49592564" w:rsidR="008F68FA" w:rsidRPr="00DE1573" w:rsidRDefault="008F68FA">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8F68FA" w:rsidRPr="00DE1573" w14:paraId="59A57679" w14:textId="77777777" w:rsidTr="008F68FA">
        <w:tc>
          <w:tcPr>
            <w:tcW w:w="1728" w:type="dxa"/>
            <w:shd w:val="clear" w:color="auto" w:fill="auto"/>
          </w:tcPr>
          <w:p w14:paraId="1B929464" w14:textId="3CC63C1C" w:rsidR="008F68FA" w:rsidRPr="00DE1573" w:rsidRDefault="008F68FA" w:rsidP="008F68FA">
            <w:pPr>
              <w:rPr>
                <w:b/>
                <w:sz w:val="22"/>
              </w:rPr>
            </w:pPr>
            <w:r w:rsidRPr="00DE1573">
              <w:rPr>
                <w:b/>
                <w:sz w:val="22"/>
              </w:rPr>
              <w:t>a.  Locations of Specific Environmental Hazards Identified by DoD</w:t>
            </w:r>
          </w:p>
        </w:tc>
        <w:tc>
          <w:tcPr>
            <w:tcW w:w="7740" w:type="dxa"/>
            <w:shd w:val="clear" w:color="auto" w:fill="auto"/>
          </w:tcPr>
          <w:p w14:paraId="1D260F6D" w14:textId="2B6E360D" w:rsidR="008F68FA" w:rsidRPr="00DE1573" w:rsidRDefault="004732EA" w:rsidP="008F68FA">
            <w:pPr>
              <w:pStyle w:val="BlockText"/>
            </w:pPr>
            <w:r w:rsidRPr="00DE1573">
              <w:t>The Department of Defense (</w:t>
            </w:r>
            <w:r w:rsidR="008F68FA" w:rsidRPr="00DE1573">
              <w:t>DoD</w:t>
            </w:r>
            <w:r w:rsidRPr="00DE1573">
              <w:t>)</w:t>
            </w:r>
            <w:r w:rsidR="008F68FA" w:rsidRPr="00DE1573">
              <w:t xml:space="preserve"> has identified a number of environmental hazards at military installations in Iraq, Afghanistan, and elsewhere that could present health risks.  </w:t>
            </w:r>
          </w:p>
          <w:p w14:paraId="744C20BE" w14:textId="77777777" w:rsidR="007F6831" w:rsidRPr="00DE1573" w:rsidRDefault="007F6831" w:rsidP="008F68FA">
            <w:pPr>
              <w:pStyle w:val="BlockText"/>
            </w:pPr>
          </w:p>
          <w:p w14:paraId="61537467" w14:textId="723404AA" w:rsidR="008F68FA" w:rsidRPr="00DE1573" w:rsidRDefault="00247945" w:rsidP="00162FB5">
            <w:pPr>
              <w:pStyle w:val="BlockText"/>
            </w:pPr>
            <w:r w:rsidRPr="00DE1573">
              <w:rPr>
                <w:b/>
                <w:i/>
              </w:rPr>
              <w:t>Reference</w:t>
            </w:r>
            <w:r w:rsidR="008F68FA" w:rsidRPr="00DE1573">
              <w:t>:  For more information on</w:t>
            </w:r>
            <w:r w:rsidRPr="00DE1573">
              <w:t xml:space="preserve"> </w:t>
            </w:r>
            <w:r w:rsidR="008F68FA" w:rsidRPr="00DE1573">
              <w:t>specific environmental hazards and affected military installations identified by DOD, see M21-1,</w:t>
            </w:r>
            <w:r w:rsidRPr="00DE1573">
              <w:t xml:space="preserve"> Part IV, Subpart ii, 2.C.5.</w:t>
            </w:r>
          </w:p>
        </w:tc>
      </w:tr>
    </w:tbl>
    <w:p w14:paraId="61938B63" w14:textId="77777777" w:rsidR="0088121C" w:rsidRPr="00DE1573" w:rsidRDefault="0088121C" w:rsidP="0088121C">
      <w:pPr>
        <w:pStyle w:val="BlockLine"/>
      </w:pPr>
    </w:p>
    <w:tbl>
      <w:tblPr>
        <w:tblW w:w="0" w:type="auto"/>
        <w:tblLayout w:type="fixed"/>
        <w:tblLook w:val="0000" w:firstRow="0" w:lastRow="0" w:firstColumn="0" w:lastColumn="0" w:noHBand="0" w:noVBand="0"/>
      </w:tblPr>
      <w:tblGrid>
        <w:gridCol w:w="1720"/>
        <w:gridCol w:w="7748"/>
      </w:tblGrid>
      <w:tr w:rsidR="00766B04" w:rsidRPr="00DE1573" w14:paraId="319F6FE3" w14:textId="77777777" w:rsidTr="00766B04">
        <w:tc>
          <w:tcPr>
            <w:tcW w:w="1720" w:type="dxa"/>
            <w:shd w:val="clear" w:color="auto" w:fill="auto"/>
          </w:tcPr>
          <w:p w14:paraId="319F6FD2" w14:textId="77777777" w:rsidR="00766B04" w:rsidRPr="00DE1573" w:rsidRDefault="00A36A3A" w:rsidP="00766B04">
            <w:pPr>
              <w:pStyle w:val="Heading5"/>
              <w:rPr>
                <w:b w:val="0"/>
              </w:rPr>
            </w:pPr>
            <w:proofErr w:type="gramStart"/>
            <w:r w:rsidRPr="00DE1573">
              <w:t>b.  Environmental</w:t>
            </w:r>
            <w:proofErr w:type="gramEnd"/>
            <w:r w:rsidRPr="00DE1573">
              <w:t xml:space="preserve"> Hazard EP Control and Tracking</w:t>
            </w:r>
          </w:p>
        </w:tc>
        <w:tc>
          <w:tcPr>
            <w:tcW w:w="7748" w:type="dxa"/>
            <w:shd w:val="clear" w:color="auto" w:fill="auto"/>
          </w:tcPr>
          <w:p w14:paraId="319F6FD3" w14:textId="5FAEA6F6" w:rsidR="00A36A3A" w:rsidRPr="00DE1573" w:rsidRDefault="00A36A3A" w:rsidP="00A36A3A">
            <w:pPr>
              <w:pStyle w:val="BlockText"/>
            </w:pPr>
            <w:r w:rsidRPr="00DE1573">
              <w:t xml:space="preserve">Upon receipt of a substantially complete claim for </w:t>
            </w:r>
            <w:r w:rsidR="002413C2" w:rsidRPr="00DE1573">
              <w:t>SC</w:t>
            </w:r>
            <w:r w:rsidRPr="00DE1573">
              <w:t xml:space="preserve"> based on exposure to one or more of the environmental hazards listed in M21-1, Part IV, Subpart ii, </w:t>
            </w:r>
            <w:r w:rsidR="006B2192" w:rsidRPr="00DE1573">
              <w:t>2.C.5</w:t>
            </w:r>
          </w:p>
          <w:p w14:paraId="319F6FD4" w14:textId="77777777" w:rsidR="00A36A3A" w:rsidRPr="00DE1573" w:rsidRDefault="00A36A3A" w:rsidP="00A36A3A">
            <w:pPr>
              <w:pStyle w:val="BlockText"/>
              <w:rPr>
                <w:sz w:val="22"/>
                <w:szCs w:val="22"/>
              </w:rPr>
            </w:pPr>
          </w:p>
          <w:p w14:paraId="5F15D2CC" w14:textId="7D3CE6DA" w:rsidR="00176A59" w:rsidRPr="00DE1573" w:rsidRDefault="00A36A3A" w:rsidP="004F7B68">
            <w:pPr>
              <w:pStyle w:val="BulletText1"/>
              <w:rPr>
                <w:strike/>
              </w:rPr>
            </w:pPr>
            <w:r w:rsidRPr="00DE1573">
              <w:t>establish a standard EP, such as EP 110, 010, or 020</w:t>
            </w:r>
            <w:r w:rsidR="007E6655" w:rsidRPr="00DE1573">
              <w:t>, and</w:t>
            </w:r>
          </w:p>
          <w:p w14:paraId="6344C78E" w14:textId="73C82221" w:rsidR="00176A59" w:rsidRPr="00DE1573" w:rsidRDefault="00A36A3A" w:rsidP="00162FB5">
            <w:pPr>
              <w:pStyle w:val="BulletText1"/>
              <w:rPr>
                <w:rStyle w:val="referencecode1"/>
                <w:szCs w:val="20"/>
              </w:rPr>
            </w:pPr>
            <w:proofErr w:type="gramStart"/>
            <w:r w:rsidRPr="00DE1573">
              <w:rPr>
                <w:rStyle w:val="referencecode1"/>
              </w:rPr>
              <w:t>if</w:t>
            </w:r>
            <w:proofErr w:type="gramEnd"/>
            <w:r w:rsidRPr="00DE1573">
              <w:rPr>
                <w:rStyle w:val="referencecode1"/>
              </w:rPr>
              <w:t xml:space="preserve"> the claim is based on service in Southwest Asia</w:t>
            </w:r>
            <w:r w:rsidRPr="00DE1573">
              <w:t xml:space="preserve">, enter the </w:t>
            </w:r>
            <w:r w:rsidRPr="00DE1573">
              <w:rPr>
                <w:i/>
              </w:rPr>
              <w:t>E</w:t>
            </w:r>
            <w:r w:rsidRPr="00DE1573">
              <w:rPr>
                <w:rStyle w:val="referencecode1"/>
                <w:i/>
              </w:rPr>
              <w:t>nvironmental Hazard in Gulf War</w:t>
            </w:r>
            <w:r w:rsidRPr="00DE1573">
              <w:rPr>
                <w:rStyle w:val="referencecode1"/>
              </w:rPr>
              <w:t xml:space="preserve"> </w:t>
            </w:r>
            <w:r w:rsidR="007F6831" w:rsidRPr="00DE1573">
              <w:rPr>
                <w:rStyle w:val="referencecode1"/>
              </w:rPr>
              <w:t>s</w:t>
            </w:r>
            <w:r w:rsidRPr="00DE1573">
              <w:rPr>
                <w:rStyle w:val="referencecode1"/>
              </w:rPr>
              <w:t xml:space="preserve">pecial </w:t>
            </w:r>
            <w:r w:rsidR="007F6831" w:rsidRPr="00DE1573">
              <w:rPr>
                <w:rStyle w:val="referencecode1"/>
              </w:rPr>
              <w:t>i</w:t>
            </w:r>
            <w:r w:rsidRPr="00DE1573">
              <w:rPr>
                <w:rStyle w:val="referencecode1"/>
              </w:rPr>
              <w:t xml:space="preserve">ssue </w:t>
            </w:r>
            <w:r w:rsidR="00EB25E2" w:rsidRPr="00DE1573">
              <w:rPr>
                <w:rStyle w:val="referencecode1"/>
              </w:rPr>
              <w:t>indicator for</w:t>
            </w:r>
            <w:r w:rsidRPr="00DE1573">
              <w:rPr>
                <w:rStyle w:val="referencecode1"/>
              </w:rPr>
              <w:t xml:space="preserve"> </w:t>
            </w:r>
            <w:r w:rsidR="00EB25E2" w:rsidRPr="00DE1573">
              <w:rPr>
                <w:rStyle w:val="referencecode1"/>
              </w:rPr>
              <w:t>the related contention(s)</w:t>
            </w:r>
            <w:r w:rsidRPr="00DE1573">
              <w:rPr>
                <w:rStyle w:val="referencecode1"/>
              </w:rPr>
              <w:t>.</w:t>
            </w:r>
          </w:p>
          <w:p w14:paraId="319F6FDF" w14:textId="0F5DD791" w:rsidR="00A36A3A" w:rsidRPr="00DE1573" w:rsidRDefault="00A36A3A" w:rsidP="00162FB5">
            <w:pPr>
              <w:pStyle w:val="BulletText1"/>
              <w:numPr>
                <w:ilvl w:val="0"/>
                <w:numId w:val="0"/>
              </w:numPr>
              <w:ind w:left="173"/>
              <w:rPr>
                <w:sz w:val="22"/>
                <w:szCs w:val="22"/>
              </w:rPr>
            </w:pPr>
            <w:r w:rsidRPr="00DE1573">
              <w:rPr>
                <w:rStyle w:val="referencecode1"/>
              </w:rPr>
              <w:t xml:space="preserve">  </w:t>
            </w:r>
          </w:p>
          <w:p w14:paraId="319F6FE0" w14:textId="0D1A1498" w:rsidR="00766B04" w:rsidRPr="00DE1573" w:rsidRDefault="00A36A3A" w:rsidP="00A36A3A">
            <w:pPr>
              <w:pStyle w:val="BlockText"/>
              <w:rPr>
                <w:rStyle w:val="referencecode1"/>
              </w:rPr>
            </w:pPr>
            <w:r w:rsidRPr="00DE1573">
              <w:rPr>
                <w:b/>
                <w:bCs/>
                <w:i/>
                <w:iCs/>
              </w:rPr>
              <w:t>Note</w:t>
            </w:r>
            <w:r w:rsidRPr="00DE1573">
              <w:t>:  D</w:t>
            </w:r>
            <w:r w:rsidRPr="00DE1573">
              <w:rPr>
                <w:rStyle w:val="referencecode1"/>
              </w:rPr>
              <w:t xml:space="preserve">o </w:t>
            </w:r>
            <w:r w:rsidRPr="00DE1573">
              <w:rPr>
                <w:rStyle w:val="referencecode1"/>
                <w:i/>
                <w:iCs/>
              </w:rPr>
              <w:t>not</w:t>
            </w:r>
            <w:r w:rsidRPr="00DE1573">
              <w:rPr>
                <w:rStyle w:val="referencecode1"/>
              </w:rPr>
              <w:t xml:space="preserve"> use the </w:t>
            </w:r>
            <w:r w:rsidRPr="00DE1573">
              <w:rPr>
                <w:i/>
              </w:rPr>
              <w:t>E</w:t>
            </w:r>
            <w:r w:rsidRPr="00DE1573">
              <w:rPr>
                <w:rStyle w:val="referencecode1"/>
                <w:i/>
              </w:rPr>
              <w:t>nvironmental Hazard in Gulf War</w:t>
            </w:r>
            <w:r w:rsidRPr="00DE1573">
              <w:rPr>
                <w:rStyle w:val="referencecode1"/>
              </w:rPr>
              <w:t xml:space="preserve"> identifier for claims based on Atsugi or Camp Lejeune service.  </w:t>
            </w:r>
          </w:p>
          <w:p w14:paraId="319F6FE1" w14:textId="77777777" w:rsidR="00A36A3A" w:rsidRPr="00DE1573" w:rsidRDefault="00A36A3A" w:rsidP="00A36A3A">
            <w:pPr>
              <w:pStyle w:val="BlockText"/>
              <w:rPr>
                <w:rStyle w:val="referencecode1"/>
              </w:rPr>
            </w:pPr>
          </w:p>
          <w:p w14:paraId="319F6FE2" w14:textId="315904DB" w:rsidR="00A36A3A" w:rsidRPr="00DE1573" w:rsidRDefault="00A36A3A" w:rsidP="002F2729">
            <w:pPr>
              <w:pStyle w:val="BlockText"/>
            </w:pPr>
            <w:r w:rsidRPr="00DE1573">
              <w:rPr>
                <w:rStyle w:val="referencecode1"/>
                <w:b/>
                <w:i/>
              </w:rPr>
              <w:t>Reference</w:t>
            </w:r>
            <w:r w:rsidRPr="00DE1573">
              <w:rPr>
                <w:rStyle w:val="referencecode1"/>
              </w:rPr>
              <w:t xml:space="preserve">:  For specific instructions </w:t>
            </w:r>
            <w:r w:rsidR="002F2729" w:rsidRPr="00DE1573">
              <w:rPr>
                <w:rStyle w:val="referencecode1"/>
              </w:rPr>
              <w:t>on</w:t>
            </w:r>
            <w:r w:rsidRPr="00DE1573">
              <w:rPr>
                <w:rStyle w:val="referencecode1"/>
              </w:rPr>
              <w:t xml:space="preserve"> processing Camp Lejeune claims, see </w:t>
            </w:r>
            <w:r w:rsidR="00C000DA" w:rsidRPr="00DE1573">
              <w:lastRenderedPageBreak/>
              <w:t>M21-1, Part IV, Subpart ii, 1.</w:t>
            </w:r>
            <w:r w:rsidR="00162FB5" w:rsidRPr="00DE1573">
              <w:t>I.6.g</w:t>
            </w:r>
            <w:r w:rsidR="002F2729" w:rsidRPr="00DE1573">
              <w:rPr>
                <w:rStyle w:val="referencecode1"/>
              </w:rPr>
              <w:t>.</w:t>
            </w:r>
          </w:p>
        </w:tc>
      </w:tr>
    </w:tbl>
    <w:p w14:paraId="319F6FE6" w14:textId="77777777" w:rsidR="00A36A3A" w:rsidRPr="00DE1573" w:rsidRDefault="00A36A3A" w:rsidP="00A36A3A">
      <w:pPr>
        <w:pStyle w:val="BlockLine"/>
      </w:pPr>
    </w:p>
    <w:tbl>
      <w:tblPr>
        <w:tblW w:w="0" w:type="auto"/>
        <w:tblLayout w:type="fixed"/>
        <w:tblLook w:val="0000" w:firstRow="0" w:lastRow="0" w:firstColumn="0" w:lastColumn="0" w:noHBand="0" w:noVBand="0"/>
      </w:tblPr>
      <w:tblGrid>
        <w:gridCol w:w="1720"/>
        <w:gridCol w:w="7748"/>
      </w:tblGrid>
      <w:tr w:rsidR="00A36A3A" w:rsidRPr="00DE1573" w14:paraId="319F6FF9" w14:textId="77777777" w:rsidTr="00A36A3A">
        <w:tc>
          <w:tcPr>
            <w:tcW w:w="1720" w:type="dxa"/>
            <w:shd w:val="clear" w:color="auto" w:fill="auto"/>
          </w:tcPr>
          <w:p w14:paraId="319F6FE7" w14:textId="77777777" w:rsidR="00A36A3A" w:rsidRPr="00DE1573" w:rsidRDefault="00A36A3A" w:rsidP="00A36A3A">
            <w:pPr>
              <w:pStyle w:val="Heading5"/>
            </w:pPr>
            <w:proofErr w:type="gramStart"/>
            <w:r w:rsidRPr="00DE1573">
              <w:t>c.  Guidelines</w:t>
            </w:r>
            <w:proofErr w:type="gramEnd"/>
            <w:r w:rsidRPr="00DE1573">
              <w:t xml:space="preserve"> for Developing Environmental Hazard Claims</w:t>
            </w:r>
          </w:p>
        </w:tc>
        <w:tc>
          <w:tcPr>
            <w:tcW w:w="7748" w:type="dxa"/>
            <w:shd w:val="clear" w:color="auto" w:fill="auto"/>
          </w:tcPr>
          <w:p w14:paraId="319F6FE8" w14:textId="5C7E2C2B" w:rsidR="00A36A3A" w:rsidRPr="00DE1573" w:rsidRDefault="00A36A3A" w:rsidP="00A36A3A">
            <w:pPr>
              <w:pStyle w:val="BlockText"/>
            </w:pPr>
            <w:r w:rsidRPr="00DE1573">
              <w:t xml:space="preserve">Use the guidelines below when developing claims for </w:t>
            </w:r>
            <w:r w:rsidR="004342A5" w:rsidRPr="00DE1573">
              <w:t>SC</w:t>
            </w:r>
            <w:r w:rsidRPr="00DE1573">
              <w:t xml:space="preserve"> based on exposure to environmental hazards.</w:t>
            </w:r>
          </w:p>
          <w:p w14:paraId="319F6FE9" w14:textId="77777777" w:rsidR="00A36A3A" w:rsidRPr="00DE1573" w:rsidRDefault="00A36A3A" w:rsidP="00A36A3A">
            <w:pPr>
              <w:pStyle w:val="BlockText"/>
            </w:pPr>
          </w:p>
          <w:p w14:paraId="319F6FEA" w14:textId="5FD24153" w:rsidR="00A36A3A" w:rsidRPr="00DE1573" w:rsidRDefault="00E47415" w:rsidP="00A36A3A">
            <w:pPr>
              <w:pStyle w:val="BulletText1"/>
            </w:pPr>
            <w:r w:rsidRPr="00DE1573">
              <w:t>If the claimed exposure is not established by the evidence of record, s</w:t>
            </w:r>
            <w:r w:rsidR="00A36A3A" w:rsidRPr="00DE1573">
              <w:t>end the Veteran a standard section 5103 notice.</w:t>
            </w:r>
          </w:p>
          <w:p w14:paraId="319F6FEB" w14:textId="00EB4B2F" w:rsidR="00A36A3A" w:rsidRPr="00DE1573" w:rsidRDefault="00A36A3A" w:rsidP="00A36A3A">
            <w:pPr>
              <w:pStyle w:val="BulletText1"/>
            </w:pPr>
            <w:r w:rsidRPr="00DE1573">
              <w:t xml:space="preserve">If the Veteran </w:t>
            </w:r>
            <w:r w:rsidR="00247945" w:rsidRPr="00DE1573">
              <w:t>claim</w:t>
            </w:r>
            <w:r w:rsidRPr="00DE1573">
              <w:t xml:space="preserve">s exposure to environmental hazards during service, but does not claim </w:t>
            </w:r>
            <w:r w:rsidR="004342A5" w:rsidRPr="00DE1573">
              <w:t>SC</w:t>
            </w:r>
            <w:r w:rsidRPr="00DE1573">
              <w:t xml:space="preserve"> for a specific disability,</w:t>
            </w:r>
            <w:r w:rsidR="00176A59" w:rsidRPr="00DE1573">
              <w:t xml:space="preserve"> the claim is not substantially complete.</w:t>
            </w:r>
            <w:r w:rsidRPr="00DE1573">
              <w:t xml:space="preserve"> </w:t>
            </w:r>
            <w:r w:rsidR="00176A59" w:rsidRPr="00DE1573">
              <w:t xml:space="preserve"> I</w:t>
            </w:r>
            <w:r w:rsidRPr="00DE1573">
              <w:t>nform the Veteran that he/she must at least identify a symptom or cluster of symptoms, because exposure, in and of itself, is not a disability.</w:t>
            </w:r>
          </w:p>
          <w:p w14:paraId="319F6FEC" w14:textId="77777777" w:rsidR="00A36A3A" w:rsidRPr="00DE1573" w:rsidRDefault="00A36A3A" w:rsidP="00A36A3A">
            <w:pPr>
              <w:pStyle w:val="BulletText1"/>
            </w:pPr>
            <w:r w:rsidRPr="00DE1573">
              <w:t xml:space="preserve">Ask the claimant to provide at least some general information about the exposure event.  </w:t>
            </w:r>
            <w:r w:rsidRPr="00DE1573">
              <w:rPr>
                <w:b/>
                <w:bCs/>
                <w:i/>
                <w:iCs/>
              </w:rPr>
              <w:t>Note</w:t>
            </w:r>
            <w:r w:rsidRPr="00DE1573">
              <w:t>:  Send a follow-up letter or telephone the Veteran if he/she fails to provide sufficient information regarding exposure and/or disability claimed because of such exposure.</w:t>
            </w:r>
          </w:p>
          <w:p w14:paraId="319F6FED" w14:textId="418B13D2" w:rsidR="00A36A3A" w:rsidRPr="00DE1573" w:rsidRDefault="00A36A3A" w:rsidP="00A36A3A">
            <w:pPr>
              <w:pStyle w:val="BulletText1"/>
            </w:pPr>
            <w:r w:rsidRPr="00DE1573">
              <w:t>Develop for STRs and any VA and/or private medical records that are noted by the claimant.</w:t>
            </w:r>
          </w:p>
          <w:p w14:paraId="319F6FEE" w14:textId="77777777" w:rsidR="00A36A3A" w:rsidRPr="00DE1573" w:rsidRDefault="00A36A3A" w:rsidP="00A36A3A">
            <w:pPr>
              <w:pStyle w:val="BulletText1"/>
            </w:pPr>
            <w:r w:rsidRPr="00DE1573">
              <w:t>Verify dates of military service and obtain military personnel records as per normal procedures.</w:t>
            </w:r>
          </w:p>
          <w:p w14:paraId="338A1041" w14:textId="77777777" w:rsidR="00176A59" w:rsidRPr="00DE1573" w:rsidRDefault="00176A59" w:rsidP="00176A59">
            <w:pPr>
              <w:pStyle w:val="BulletText1"/>
              <w:numPr>
                <w:ilvl w:val="0"/>
                <w:numId w:val="0"/>
              </w:numPr>
              <w:ind w:left="173" w:hanging="173"/>
            </w:pPr>
          </w:p>
          <w:p w14:paraId="251A925C" w14:textId="77777777" w:rsidR="00176A59" w:rsidRPr="00DE1573" w:rsidRDefault="00176A59" w:rsidP="00176A59">
            <w:pPr>
              <w:pStyle w:val="BulletText1"/>
              <w:numPr>
                <w:ilvl w:val="0"/>
                <w:numId w:val="0"/>
              </w:numPr>
              <w:ind w:left="173" w:hanging="173"/>
            </w:pPr>
            <w:r w:rsidRPr="00DE1573">
              <w:rPr>
                <w:b/>
                <w:i/>
              </w:rPr>
              <w:t>Note</w:t>
            </w:r>
            <w:r w:rsidRPr="00DE1573">
              <w:t xml:space="preserve">:  Do </w:t>
            </w:r>
            <w:r w:rsidRPr="00DE1573">
              <w:rPr>
                <w:i/>
              </w:rPr>
              <w:t xml:space="preserve">not </w:t>
            </w:r>
            <w:r w:rsidRPr="00DE1573">
              <w:t xml:space="preserve">establish a pending EP until the Veteran has identified a </w:t>
            </w:r>
          </w:p>
          <w:p w14:paraId="529E5F96" w14:textId="076D8900" w:rsidR="00176A59" w:rsidRPr="00DE1573" w:rsidRDefault="00176A59" w:rsidP="00176A59">
            <w:pPr>
              <w:pStyle w:val="BulletText1"/>
              <w:numPr>
                <w:ilvl w:val="0"/>
                <w:numId w:val="0"/>
              </w:numPr>
              <w:ind w:left="173" w:hanging="173"/>
            </w:pPr>
            <w:proofErr w:type="gramStart"/>
            <w:r w:rsidRPr="00DE1573">
              <w:t>disability</w:t>
            </w:r>
            <w:proofErr w:type="gramEnd"/>
            <w:r w:rsidRPr="00DE1573">
              <w:t xml:space="preserve"> that has resulted from exposure to the environmental hazard.</w:t>
            </w:r>
          </w:p>
          <w:p w14:paraId="319F6FEF" w14:textId="77777777" w:rsidR="00A36A3A" w:rsidRPr="00DE1573" w:rsidRDefault="00A36A3A" w:rsidP="00A36A3A">
            <w:pPr>
              <w:pStyle w:val="BlockText"/>
            </w:pPr>
          </w:p>
          <w:p w14:paraId="319F6FF0" w14:textId="77777777" w:rsidR="00A36A3A" w:rsidRPr="00DE1573" w:rsidRDefault="00A36A3A" w:rsidP="00A36A3A">
            <w:pPr>
              <w:pStyle w:val="BlockText"/>
            </w:pPr>
            <w:r w:rsidRPr="00DE1573">
              <w:rPr>
                <w:b/>
                <w:bCs/>
                <w:i/>
                <w:iCs/>
              </w:rPr>
              <w:t>References</w:t>
            </w:r>
            <w:r w:rsidRPr="00DE1573">
              <w:t>:  For more information on</w:t>
            </w:r>
          </w:p>
          <w:p w14:paraId="319F6FF1" w14:textId="0F843F47" w:rsidR="007A6B77" w:rsidRPr="00DE1573" w:rsidRDefault="007A6B77" w:rsidP="00A36A3A">
            <w:pPr>
              <w:pStyle w:val="BulletText1"/>
            </w:pPr>
            <w:r w:rsidRPr="00DE1573">
              <w:t>obtaining service information for claims involving exposure to contaminated water at Camp Lejeune, see M21-1, Part III, Subpart iii, 2.E.</w:t>
            </w:r>
            <w:r w:rsidR="007677E7" w:rsidRPr="00DE1573">
              <w:t>7</w:t>
            </w:r>
          </w:p>
          <w:p w14:paraId="319F6FF2" w14:textId="2800FE80" w:rsidR="00A36A3A" w:rsidRPr="00DE1573" w:rsidRDefault="002F2729" w:rsidP="00A36A3A">
            <w:pPr>
              <w:pStyle w:val="BulletText1"/>
            </w:pPr>
            <w:r w:rsidRPr="00DE1573">
              <w:t xml:space="preserve">standard </w:t>
            </w:r>
            <w:r w:rsidR="00A36A3A" w:rsidRPr="00DE1573">
              <w:t>section 5103 notices, see M21-1, Part I, 1.B</w:t>
            </w:r>
          </w:p>
          <w:p w14:paraId="319F6FF4" w14:textId="77777777" w:rsidR="00A36A3A" w:rsidRPr="00DE1573" w:rsidRDefault="00A36A3A" w:rsidP="00A36A3A">
            <w:pPr>
              <w:pStyle w:val="BulletText1"/>
            </w:pPr>
            <w:r w:rsidRPr="00DE1573">
              <w:t xml:space="preserve">requesting evidence from </w:t>
            </w:r>
          </w:p>
          <w:p w14:paraId="319F6FF5" w14:textId="3F63D069" w:rsidR="00A36A3A" w:rsidRPr="00DE1573" w:rsidRDefault="00A36A3A" w:rsidP="00A36A3A">
            <w:pPr>
              <w:pStyle w:val="BulletText2"/>
            </w:pPr>
            <w:r w:rsidRPr="00DE1573">
              <w:t>the claimant, see M21-1, Part III, Subpart iii, 1.B, and</w:t>
            </w:r>
          </w:p>
          <w:p w14:paraId="319F6FF6" w14:textId="5692FDE2" w:rsidR="00A36A3A" w:rsidRPr="00DE1573" w:rsidRDefault="00A36A3A" w:rsidP="00A36A3A">
            <w:pPr>
              <w:pStyle w:val="BulletText2"/>
            </w:pPr>
            <w:r w:rsidRPr="00DE1573">
              <w:t>other sources, see M21-1, Part III, Subpart iii, 1.C</w:t>
            </w:r>
          </w:p>
          <w:p w14:paraId="319F6FF7" w14:textId="2F3F644A" w:rsidR="00A36A3A" w:rsidRPr="00DE1573" w:rsidRDefault="00A36A3A" w:rsidP="00A36A3A">
            <w:pPr>
              <w:pStyle w:val="BulletText1"/>
            </w:pPr>
            <w:r w:rsidRPr="00DE1573">
              <w:t>developing for STRs and other service records, see M21-1, Part III, Subpart iii, 2.A, and</w:t>
            </w:r>
          </w:p>
          <w:p w14:paraId="319F6FF8" w14:textId="7E31AB9F" w:rsidR="00A36A3A" w:rsidRPr="00DE1573" w:rsidRDefault="00A36A3A" w:rsidP="00A36A3A">
            <w:pPr>
              <w:pStyle w:val="BulletText1"/>
            </w:pPr>
            <w:proofErr w:type="gramStart"/>
            <w:r w:rsidRPr="00DE1573">
              <w:t>verifying</w:t>
            </w:r>
            <w:proofErr w:type="gramEnd"/>
            <w:r w:rsidRPr="00DE1573">
              <w:t xml:space="preserve"> military service, see M21-1, Part III, Subpart ii, 6.5.</w:t>
            </w:r>
          </w:p>
        </w:tc>
      </w:tr>
    </w:tbl>
    <w:p w14:paraId="319F6FFC" w14:textId="77777777" w:rsidR="00A36A3A" w:rsidRPr="00DE1573" w:rsidRDefault="00A36A3A" w:rsidP="00A36A3A">
      <w:pPr>
        <w:pStyle w:val="BlockLine"/>
      </w:pPr>
    </w:p>
    <w:tbl>
      <w:tblPr>
        <w:tblW w:w="0" w:type="auto"/>
        <w:tblLayout w:type="fixed"/>
        <w:tblLook w:val="0000" w:firstRow="0" w:lastRow="0" w:firstColumn="0" w:lastColumn="0" w:noHBand="0" w:noVBand="0"/>
      </w:tblPr>
      <w:tblGrid>
        <w:gridCol w:w="1720"/>
        <w:gridCol w:w="7748"/>
      </w:tblGrid>
      <w:tr w:rsidR="00A36A3A" w:rsidRPr="00DE1573" w14:paraId="319F7005" w14:textId="77777777" w:rsidTr="00A36A3A">
        <w:tc>
          <w:tcPr>
            <w:tcW w:w="1720" w:type="dxa"/>
            <w:shd w:val="clear" w:color="auto" w:fill="auto"/>
          </w:tcPr>
          <w:p w14:paraId="319F6FFD" w14:textId="5291F8F5" w:rsidR="00A36A3A" w:rsidRPr="00DE1573" w:rsidRDefault="00A36A3A" w:rsidP="00A36A3A">
            <w:pPr>
              <w:pStyle w:val="Heading5"/>
            </w:pPr>
            <w:proofErr w:type="gramStart"/>
            <w:r w:rsidRPr="00DE1573">
              <w:t>d.  Using</w:t>
            </w:r>
            <w:proofErr w:type="gramEnd"/>
            <w:r w:rsidRPr="00DE1573">
              <w:t xml:space="preserve"> DoD Records to </w:t>
            </w:r>
            <w:r w:rsidR="003753E5" w:rsidRPr="00DE1573">
              <w:t>Establish</w:t>
            </w:r>
            <w:r w:rsidRPr="00DE1573">
              <w:t xml:space="preserve"> Exposure to Environmental Hazards</w:t>
            </w:r>
          </w:p>
        </w:tc>
        <w:tc>
          <w:tcPr>
            <w:tcW w:w="7748" w:type="dxa"/>
            <w:shd w:val="clear" w:color="auto" w:fill="auto"/>
          </w:tcPr>
          <w:p w14:paraId="319F6FFE" w14:textId="3AE55E08" w:rsidR="00A36A3A" w:rsidRPr="00DE1573" w:rsidRDefault="00A36A3A" w:rsidP="00A36A3A">
            <w:pPr>
              <w:pStyle w:val="BlockText"/>
            </w:pPr>
            <w:r w:rsidRPr="00DE1573">
              <w:t>DoD has provided VA</w:t>
            </w:r>
            <w:r w:rsidR="00176A59" w:rsidRPr="00DE1573">
              <w:t xml:space="preserve"> with</w:t>
            </w:r>
            <w:r w:rsidRPr="00DE1573">
              <w:t xml:space="preserve"> a list of those who served at the </w:t>
            </w:r>
            <w:proofErr w:type="spellStart"/>
            <w:r w:rsidRPr="00DE1573">
              <w:t>Qarmat</w:t>
            </w:r>
            <w:proofErr w:type="spellEnd"/>
            <w:r w:rsidRPr="00DE1573">
              <w:t xml:space="preserve"> Ali Water Treatment Plant in </w:t>
            </w:r>
            <w:proofErr w:type="spellStart"/>
            <w:r w:rsidRPr="00DE1573">
              <w:t>Basrah</w:t>
            </w:r>
            <w:proofErr w:type="spellEnd"/>
            <w:r w:rsidRPr="00DE1573">
              <w:t xml:space="preserve">, Iraq.  If the Veteran is claiming exposure to an environmental hazard at this location, send an e-mail request for verification of service to the following </w:t>
            </w:r>
            <w:r w:rsidR="009A7511" w:rsidRPr="00DE1573">
              <w:t>Compensation</w:t>
            </w:r>
            <w:r w:rsidRPr="00DE1573">
              <w:t xml:space="preserve"> Service mailbox: VAVBAWAS/CO/211/ENVIRO.</w:t>
            </w:r>
          </w:p>
          <w:p w14:paraId="319F6FFF" w14:textId="77777777" w:rsidR="00A36A3A" w:rsidRPr="00DE1573" w:rsidRDefault="00A36A3A" w:rsidP="00A36A3A">
            <w:pPr>
              <w:pStyle w:val="BlockText"/>
            </w:pPr>
          </w:p>
          <w:p w14:paraId="319F7000" w14:textId="2CE43482" w:rsidR="00A36A3A" w:rsidRPr="00DE1573" w:rsidRDefault="00A36A3A" w:rsidP="00A36A3A">
            <w:pPr>
              <w:pStyle w:val="BlockText"/>
            </w:pPr>
            <w:r w:rsidRPr="00DE1573">
              <w:t>If exposure cannot be verified through an official list provided by DoD, review STRs, military personnel records, and all other available</w:t>
            </w:r>
            <w:r w:rsidR="004342A5" w:rsidRPr="00DE1573">
              <w:t xml:space="preserve"> documents</w:t>
            </w:r>
            <w:r w:rsidRPr="00DE1573">
              <w:t xml:space="preserve"> for evidence that corroborates the Veteran’s statement of exposure.</w:t>
            </w:r>
          </w:p>
          <w:p w14:paraId="319F7001" w14:textId="77777777" w:rsidR="00A36A3A" w:rsidRPr="00DE1573" w:rsidRDefault="00A36A3A" w:rsidP="00A36A3A">
            <w:pPr>
              <w:pStyle w:val="BlockText"/>
            </w:pPr>
          </w:p>
          <w:p w14:paraId="319F7002" w14:textId="77777777" w:rsidR="00A36A3A" w:rsidRPr="00DE1573" w:rsidRDefault="00A36A3A" w:rsidP="00A36A3A">
            <w:pPr>
              <w:pStyle w:val="BlockText"/>
              <w:rPr>
                <w:rFonts w:ascii="Arial" w:hAnsi="Arial" w:cs="Arial"/>
              </w:rPr>
            </w:pPr>
            <w:r w:rsidRPr="00DE1573">
              <w:rPr>
                <w:b/>
                <w:bCs/>
                <w:i/>
                <w:iCs/>
              </w:rPr>
              <w:t>Important</w:t>
            </w:r>
            <w:r w:rsidRPr="00DE1573">
              <w:t xml:space="preserve">:  Carefully review the </w:t>
            </w:r>
            <w:r w:rsidRPr="00DE1573">
              <w:rPr>
                <w:i/>
                <w:iCs/>
              </w:rPr>
              <w:t xml:space="preserve">Post-Deployment Health Assessment (PDHA) </w:t>
            </w:r>
            <w:r w:rsidRPr="00DE1573">
              <w:t xml:space="preserve">and </w:t>
            </w:r>
            <w:r w:rsidRPr="00DE1573">
              <w:rPr>
                <w:i/>
                <w:iCs/>
              </w:rPr>
              <w:t xml:space="preserve">Discharge Examination, </w:t>
            </w:r>
            <w:r w:rsidRPr="00DE1573">
              <w:rPr>
                <w:iCs/>
              </w:rPr>
              <w:t>generally located in the STRs,</w:t>
            </w:r>
            <w:r w:rsidRPr="00DE1573">
              <w:t xml:space="preserve"> for exposure information.  The </w:t>
            </w:r>
            <w:r w:rsidRPr="00DE1573">
              <w:rPr>
                <w:i/>
              </w:rPr>
              <w:t>PDHA</w:t>
            </w:r>
            <w:r w:rsidRPr="00DE1573">
              <w:t xml:space="preserve"> includes specific questions relating to </w:t>
            </w:r>
            <w:r w:rsidRPr="00DE1573">
              <w:lastRenderedPageBreak/>
              <w:t>exposure incidents.</w:t>
            </w:r>
            <w:r w:rsidRPr="00DE1573">
              <w:rPr>
                <w:rFonts w:ascii="Arial" w:hAnsi="Arial" w:cs="Arial"/>
              </w:rPr>
              <w:t xml:space="preserve">  </w:t>
            </w:r>
          </w:p>
          <w:p w14:paraId="319F7003" w14:textId="77777777" w:rsidR="00A36A3A" w:rsidRPr="00DE1573" w:rsidRDefault="00A36A3A" w:rsidP="00A36A3A">
            <w:pPr>
              <w:pStyle w:val="BlockText"/>
              <w:rPr>
                <w:rFonts w:ascii="Arial" w:hAnsi="Arial" w:cs="Arial"/>
              </w:rPr>
            </w:pPr>
          </w:p>
          <w:p w14:paraId="319F7004" w14:textId="0CF82B86" w:rsidR="00A36A3A" w:rsidRPr="00DE1573" w:rsidRDefault="00A36A3A" w:rsidP="00A36A3A">
            <w:pPr>
              <w:pStyle w:val="BlockText"/>
            </w:pPr>
            <w:r w:rsidRPr="00DE1573">
              <w:rPr>
                <w:b/>
                <w:i/>
              </w:rPr>
              <w:t>Reference</w:t>
            </w:r>
            <w:r w:rsidRPr="00DE1573">
              <w:t>:  For</w:t>
            </w:r>
            <w:r w:rsidR="00684713" w:rsidRPr="00DE1573">
              <w:t xml:space="preserve"> more</w:t>
            </w:r>
            <w:r w:rsidRPr="00DE1573">
              <w:t xml:space="preserve"> information on using alternate evidence to establish exposure, see M21-1, Part IV, Subpart ii, 1.</w:t>
            </w:r>
            <w:r w:rsidR="0071219E" w:rsidRPr="00DE1573">
              <w:t>I</w:t>
            </w:r>
            <w:r w:rsidR="00176A59" w:rsidRPr="00DE1573">
              <w:t>.6.e</w:t>
            </w:r>
            <w:r w:rsidRPr="00DE1573">
              <w:t>.</w:t>
            </w:r>
          </w:p>
        </w:tc>
      </w:tr>
    </w:tbl>
    <w:p w14:paraId="319F7006" w14:textId="77777777" w:rsidR="00A36A3A" w:rsidRPr="00DE1573" w:rsidRDefault="00A36A3A" w:rsidP="00A36A3A">
      <w:pPr>
        <w:pStyle w:val="BlockLine"/>
      </w:pPr>
    </w:p>
    <w:tbl>
      <w:tblPr>
        <w:tblW w:w="0" w:type="auto"/>
        <w:tblLayout w:type="fixed"/>
        <w:tblLook w:val="0000" w:firstRow="0" w:lastRow="0" w:firstColumn="0" w:lastColumn="0" w:noHBand="0" w:noVBand="0"/>
      </w:tblPr>
      <w:tblGrid>
        <w:gridCol w:w="1720"/>
        <w:gridCol w:w="7748"/>
      </w:tblGrid>
      <w:tr w:rsidR="00A36A3A" w:rsidRPr="00DE1573" w14:paraId="319F7017" w14:textId="77777777" w:rsidTr="00A36A3A">
        <w:tc>
          <w:tcPr>
            <w:tcW w:w="1720" w:type="dxa"/>
            <w:shd w:val="clear" w:color="auto" w:fill="auto"/>
          </w:tcPr>
          <w:p w14:paraId="319F7007" w14:textId="27AA6EF3" w:rsidR="00A36A3A" w:rsidRPr="00DE1573" w:rsidRDefault="00A36A3A" w:rsidP="00A36A3A">
            <w:pPr>
              <w:pStyle w:val="Heading5"/>
            </w:pPr>
            <w:proofErr w:type="gramStart"/>
            <w:r w:rsidRPr="00DE1573">
              <w:t>e.  Using</w:t>
            </w:r>
            <w:proofErr w:type="gramEnd"/>
            <w:r w:rsidRPr="00DE1573">
              <w:t xml:space="preserve"> Alternate Evidence to Establish Exposure to Environmental Hazards</w:t>
            </w:r>
          </w:p>
        </w:tc>
        <w:tc>
          <w:tcPr>
            <w:tcW w:w="7748" w:type="dxa"/>
            <w:shd w:val="clear" w:color="auto" w:fill="auto"/>
          </w:tcPr>
          <w:p w14:paraId="319F7009" w14:textId="543B17E8" w:rsidR="00A36A3A" w:rsidRPr="00DE1573" w:rsidRDefault="00A36A3A" w:rsidP="00A36A3A">
            <w:pPr>
              <w:pStyle w:val="BlockText"/>
            </w:pPr>
            <w:r w:rsidRPr="00DE1573">
              <w:t>Because military service records will not verify all incidents of exposure, it is important to consider alternate evidence in establishing whether the Veteran participated in or was affected by an in-service</w:t>
            </w:r>
            <w:r w:rsidR="00151CF9" w:rsidRPr="00DE1573">
              <w:t xml:space="preserve"> environmental hazard</w:t>
            </w:r>
            <w:r w:rsidRPr="00DE1573">
              <w:t xml:space="preserve"> exposure incident.  </w:t>
            </w:r>
          </w:p>
          <w:p w14:paraId="319F7013" w14:textId="10B6BE8E" w:rsidR="00A36A3A" w:rsidRPr="00DE1573" w:rsidRDefault="00A36A3A" w:rsidP="00A36A3A">
            <w:pPr>
              <w:pStyle w:val="BlockText"/>
            </w:pPr>
          </w:p>
          <w:p w14:paraId="7A62DFA3" w14:textId="77777777" w:rsidR="00151CF9" w:rsidRPr="00DE1573" w:rsidRDefault="00A36A3A" w:rsidP="00A36A3A">
            <w:pPr>
              <w:pStyle w:val="BlockText"/>
            </w:pPr>
            <w:r w:rsidRPr="00DE1573">
              <w:rPr>
                <w:b/>
                <w:bCs/>
                <w:i/>
                <w:iCs/>
              </w:rPr>
              <w:t>Reference</w:t>
            </w:r>
            <w:r w:rsidR="00151CF9" w:rsidRPr="00DE1573">
              <w:rPr>
                <w:b/>
                <w:bCs/>
                <w:i/>
                <w:iCs/>
              </w:rPr>
              <w:t>s</w:t>
            </w:r>
            <w:r w:rsidRPr="00DE1573">
              <w:t xml:space="preserve">:  For more information on </w:t>
            </w:r>
          </w:p>
          <w:p w14:paraId="319F7014" w14:textId="3E2A74D7" w:rsidR="00A36A3A" w:rsidRPr="00DE1573" w:rsidRDefault="00A36A3A" w:rsidP="00DA4813">
            <w:pPr>
              <w:pStyle w:val="ListParagraph"/>
              <w:numPr>
                <w:ilvl w:val="0"/>
                <w:numId w:val="11"/>
              </w:numPr>
              <w:ind w:left="158" w:hanging="187"/>
            </w:pPr>
            <w:r w:rsidRPr="00DE1573">
              <w:t>considering evidence in claims for disability compensation, see</w:t>
            </w:r>
          </w:p>
          <w:p w14:paraId="319F7015" w14:textId="77777777" w:rsidR="00A36A3A" w:rsidRPr="00DE1573" w:rsidRDefault="00D872BE" w:rsidP="00DA4813">
            <w:pPr>
              <w:pStyle w:val="ListParagraph"/>
              <w:numPr>
                <w:ilvl w:val="0"/>
                <w:numId w:val="12"/>
              </w:numPr>
              <w:ind w:left="346" w:hanging="187"/>
            </w:pPr>
            <w:hyperlink r:id="rId28" w:history="1">
              <w:r w:rsidR="00A36A3A" w:rsidRPr="00DE1573">
                <w:rPr>
                  <w:rStyle w:val="Hyperlink"/>
                </w:rPr>
                <w:t>38 U.S.C. 1154(a)</w:t>
              </w:r>
            </w:hyperlink>
            <w:r w:rsidR="00A36A3A" w:rsidRPr="00DE1573">
              <w:t>, and</w:t>
            </w:r>
          </w:p>
          <w:p w14:paraId="46FE3F53" w14:textId="452B0D79" w:rsidR="00151CF9" w:rsidRPr="00DE1573" w:rsidRDefault="00D872BE" w:rsidP="00DA4813">
            <w:pPr>
              <w:pStyle w:val="ListParagraph"/>
              <w:numPr>
                <w:ilvl w:val="0"/>
                <w:numId w:val="13"/>
              </w:numPr>
              <w:ind w:left="346" w:hanging="187"/>
            </w:pPr>
            <w:hyperlink r:id="rId29" w:history="1">
              <w:r w:rsidR="00A36A3A" w:rsidRPr="00DE1573">
                <w:rPr>
                  <w:rStyle w:val="Hyperlink"/>
                </w:rPr>
                <w:t>38 CFR 3.303(a)</w:t>
              </w:r>
            </w:hyperlink>
            <w:r w:rsidR="00151CF9" w:rsidRPr="00DE1573">
              <w:t>, and</w:t>
            </w:r>
          </w:p>
          <w:p w14:paraId="319F7016" w14:textId="72A304F1" w:rsidR="00A36A3A" w:rsidRPr="00DE1573" w:rsidRDefault="00151CF9" w:rsidP="00B5082F">
            <w:pPr>
              <w:pStyle w:val="ListParagraph"/>
              <w:numPr>
                <w:ilvl w:val="0"/>
                <w:numId w:val="14"/>
              </w:numPr>
              <w:ind w:left="158" w:hanging="187"/>
            </w:pPr>
            <w:r w:rsidRPr="00DE1573">
              <w:t>a list of what alternate evidence includes, see M21-1, Part IV, Subpart ii, 2.C.5.</w:t>
            </w:r>
            <w:r w:rsidR="00B5082F" w:rsidRPr="00DE1573">
              <w:t>k</w:t>
            </w:r>
            <w:r w:rsidRPr="00DE1573">
              <w:t>.</w:t>
            </w:r>
          </w:p>
        </w:tc>
      </w:tr>
    </w:tbl>
    <w:p w14:paraId="5786A004" w14:textId="62B5AAD1" w:rsidR="00570B52" w:rsidRPr="00DE1573" w:rsidRDefault="00570B52" w:rsidP="00A36A3A">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570B52" w:rsidRPr="00DE1573" w14:paraId="1F75DC24" w14:textId="77777777" w:rsidTr="00570B52">
        <w:tc>
          <w:tcPr>
            <w:tcW w:w="1728" w:type="dxa"/>
            <w:shd w:val="clear" w:color="auto" w:fill="auto"/>
          </w:tcPr>
          <w:p w14:paraId="1F64D392" w14:textId="21B64422" w:rsidR="00570B52" w:rsidRPr="00DE1573" w:rsidRDefault="00570B52" w:rsidP="00570B52">
            <w:pPr>
              <w:rPr>
                <w:b/>
                <w:sz w:val="22"/>
              </w:rPr>
            </w:pPr>
            <w:r w:rsidRPr="00DE1573">
              <w:rPr>
                <w:b/>
                <w:sz w:val="22"/>
              </w:rPr>
              <w:t>f.  What to Include in VA Examination and/or Medical Opinion Requests in Environmental Hazard Claims</w:t>
            </w:r>
          </w:p>
        </w:tc>
        <w:tc>
          <w:tcPr>
            <w:tcW w:w="7740" w:type="dxa"/>
            <w:shd w:val="clear" w:color="auto" w:fill="auto"/>
          </w:tcPr>
          <w:p w14:paraId="218E6130" w14:textId="202103C4" w:rsidR="00FB2906" w:rsidRPr="00DE1573" w:rsidRDefault="00FB2906" w:rsidP="00FB2906">
            <w:pPr>
              <w:pStyle w:val="BlockText"/>
            </w:pPr>
            <w:r w:rsidRPr="00DE1573">
              <w:t>When requesting a medical examination and/or medical opinion for a claim based on exposure to an environmental hazard listed in M21-1, Part IV, Subpart ii, 2.C.5.</w:t>
            </w:r>
            <w:r w:rsidR="007E0C4A" w:rsidRPr="00DE1573">
              <w:t>a</w:t>
            </w:r>
            <w:r w:rsidR="00ED3F88" w:rsidRPr="00DE1573">
              <w:t xml:space="preserve"> follow the guidance below.</w:t>
            </w:r>
          </w:p>
          <w:p w14:paraId="6E334487" w14:textId="77777777" w:rsidR="00FB2906" w:rsidRPr="00DE1573" w:rsidRDefault="00FB2906" w:rsidP="00FB2906">
            <w:pPr>
              <w:pStyle w:val="BlockText"/>
              <w:rPr>
                <w:sz w:val="22"/>
                <w:szCs w:val="22"/>
              </w:rPr>
            </w:pPr>
          </w:p>
          <w:p w14:paraId="3FD8E3EE" w14:textId="11544652" w:rsidR="00FB2906" w:rsidRPr="00DE1573" w:rsidRDefault="00F67713" w:rsidP="00FB2906">
            <w:pPr>
              <w:pStyle w:val="BulletText1"/>
            </w:pPr>
            <w:r w:rsidRPr="00DE1573">
              <w:t>A</w:t>
            </w:r>
            <w:r w:rsidR="00FB2906" w:rsidRPr="00DE1573">
              <w:t>dvise the examiner of the nature of the claimed environmental hazard and the location and timeframe of exposure</w:t>
            </w:r>
            <w:r w:rsidR="00ED3F88" w:rsidRPr="00DE1573">
              <w:t>.</w:t>
            </w:r>
          </w:p>
          <w:p w14:paraId="7EAD0915" w14:textId="73018889" w:rsidR="00FB2906" w:rsidRPr="00DE1573" w:rsidRDefault="00F67713" w:rsidP="00FB2906">
            <w:pPr>
              <w:pStyle w:val="BulletText1"/>
            </w:pPr>
            <w:r w:rsidRPr="00DE1573">
              <w:t>R</w:t>
            </w:r>
            <w:r w:rsidR="00FB2906" w:rsidRPr="00DE1573">
              <w:t xml:space="preserve">emember that more than one environmental hazard may apply when Veterans are alleging exposure to a specific event.  Therefore, each </w:t>
            </w:r>
            <w:r w:rsidR="00FB2906" w:rsidRPr="00DE1573">
              <w:rPr>
                <w:i/>
              </w:rPr>
              <w:t>Fact Sheet</w:t>
            </w:r>
            <w:r w:rsidR="00FB2906" w:rsidRPr="00DE1573">
              <w:t xml:space="preserve"> related to servic</w:t>
            </w:r>
            <w:r w:rsidR="004342A5" w:rsidRPr="00DE1573">
              <w:t>e in Iraq as provided in E</w:t>
            </w:r>
            <w:r w:rsidR="00FB2906" w:rsidRPr="00DE1573">
              <w:t xml:space="preserve">xhibits 1 through 4 </w:t>
            </w:r>
            <w:r w:rsidR="004B457E" w:rsidRPr="00DE1573">
              <w:t xml:space="preserve">(M21-1, Part IV, Subpart ii, 1.I.9, 10, 11, and 12) </w:t>
            </w:r>
            <w:r w:rsidR="00FB2906" w:rsidRPr="00DE1573">
              <w:t xml:space="preserve">should be provided to the VA examiner.  This is necessary for Iraq Veterans since the Veteran served in Iraq and could have been exposed to burn pit emissions and the same high levels of </w:t>
            </w:r>
            <w:r w:rsidR="004342A5" w:rsidRPr="00DE1573">
              <w:t>particulate matter (</w:t>
            </w:r>
            <w:r w:rsidR="00FB2906" w:rsidRPr="00DE1573">
              <w:t>PM</w:t>
            </w:r>
            <w:r w:rsidR="004342A5" w:rsidRPr="00DE1573">
              <w:t>)</w:t>
            </w:r>
            <w:r w:rsidR="00FB2906" w:rsidRPr="00DE1573">
              <w:t xml:space="preserve"> as others in the Southwest Asia </w:t>
            </w:r>
            <w:proofErr w:type="gramStart"/>
            <w:r w:rsidR="00FB2906" w:rsidRPr="00DE1573">
              <w:t>theater</w:t>
            </w:r>
            <w:proofErr w:type="gramEnd"/>
            <w:r w:rsidR="007E6655" w:rsidRPr="00DE1573">
              <w:t xml:space="preserve"> of operations</w:t>
            </w:r>
            <w:r w:rsidR="00ED3F88" w:rsidRPr="00DE1573">
              <w:t>.</w:t>
            </w:r>
            <w:r w:rsidR="00FB2906" w:rsidRPr="00DE1573">
              <w:t xml:space="preserve">  </w:t>
            </w:r>
          </w:p>
          <w:p w14:paraId="4F4272D9" w14:textId="5A4796BE" w:rsidR="00FB2906" w:rsidRPr="00DE1573" w:rsidRDefault="00FB2906" w:rsidP="00FB2906">
            <w:pPr>
              <w:pStyle w:val="BulletText1"/>
            </w:pPr>
            <w:r w:rsidRPr="00DE1573">
              <w:t xml:space="preserve">For claims based on exposure to contaminated drinking water at Camp Lejeune, attach the </w:t>
            </w:r>
            <w:r w:rsidR="00781A40" w:rsidRPr="00DE1573">
              <w:t>appendices shown in M21-1, Part IV, Subpart ii, 1.I.14, 15, 16, and 17</w:t>
            </w:r>
            <w:r w:rsidR="00ED3F88" w:rsidRPr="00DE1573">
              <w:t>.</w:t>
            </w:r>
          </w:p>
          <w:p w14:paraId="433CD137" w14:textId="5D7CB23A" w:rsidR="00FB2906" w:rsidRPr="00DE1573" w:rsidRDefault="00F67713" w:rsidP="00FB2906">
            <w:pPr>
              <w:pStyle w:val="BulletText1"/>
            </w:pPr>
            <w:r w:rsidRPr="00DE1573">
              <w:t>F</w:t>
            </w:r>
            <w:r w:rsidR="00FB2906" w:rsidRPr="00DE1573">
              <w:t>orward the claims folder to the examiner and ask him/her to</w:t>
            </w:r>
          </w:p>
          <w:p w14:paraId="0F32F16B" w14:textId="6D58D957" w:rsidR="00FB2906" w:rsidRPr="00DE1573" w:rsidRDefault="00FB2906" w:rsidP="00FB2906">
            <w:pPr>
              <w:pStyle w:val="BulletText2"/>
            </w:pPr>
            <w:r w:rsidRPr="00DE1573">
              <w:t xml:space="preserve">review the medical and other evidence in the claims folder, including the </w:t>
            </w:r>
            <w:r w:rsidRPr="00DE1573">
              <w:rPr>
                <w:i/>
              </w:rPr>
              <w:t>Fact Sheet</w:t>
            </w:r>
            <w:r w:rsidR="007677E7" w:rsidRPr="00DE1573">
              <w:rPr>
                <w:i/>
              </w:rPr>
              <w:t>s</w:t>
            </w:r>
            <w:r w:rsidRPr="00DE1573">
              <w:t xml:space="preserve"> or other documents for Camp Lejeune</w:t>
            </w:r>
            <w:r w:rsidR="00E0406A" w:rsidRPr="00DE1573">
              <w:t xml:space="preserve"> or other exposure</w:t>
            </w:r>
            <w:r w:rsidRPr="00DE1573">
              <w:t xml:space="preserve"> claims, and</w:t>
            </w:r>
          </w:p>
          <w:p w14:paraId="30643F75" w14:textId="77777777" w:rsidR="00FB2906" w:rsidRPr="00DE1573" w:rsidRDefault="00FB2906" w:rsidP="00FB2906">
            <w:pPr>
              <w:pStyle w:val="BulletText2"/>
            </w:pPr>
            <w:proofErr w:type="gramStart"/>
            <w:r w:rsidRPr="00DE1573">
              <w:t>provide</w:t>
            </w:r>
            <w:proofErr w:type="gramEnd"/>
            <w:r w:rsidRPr="00DE1573">
              <w:t xml:space="preserve"> an opinion, and rationale for the opinion, as to the likelihood that the Veteran’s claimed disability is related to the hazardous environmental exposure.</w:t>
            </w:r>
          </w:p>
          <w:p w14:paraId="10E33E14" w14:textId="77777777" w:rsidR="00FB2906" w:rsidRPr="00DE1573" w:rsidRDefault="00FB2906" w:rsidP="00FB2906">
            <w:pPr>
              <w:pStyle w:val="BlockText"/>
              <w:rPr>
                <w:sz w:val="22"/>
                <w:szCs w:val="22"/>
              </w:rPr>
            </w:pPr>
          </w:p>
          <w:p w14:paraId="78D13F2F" w14:textId="77777777" w:rsidR="00FB2906" w:rsidRPr="00DE1573" w:rsidRDefault="00FB2906" w:rsidP="00FB2906">
            <w:pPr>
              <w:pStyle w:val="BlockText"/>
            </w:pPr>
            <w:r w:rsidRPr="00DE1573">
              <w:t>In some cases, an opinion based on a records review only may suffice, but other cases may require a current examination.  When initially requesting an opinion only, ask the examiner to schedule an examination if he/she believes it is needed to render the requested medical opinion.</w:t>
            </w:r>
          </w:p>
          <w:p w14:paraId="0E71D794" w14:textId="77777777" w:rsidR="00FB2906" w:rsidRPr="00DE1573" w:rsidRDefault="00FB2906" w:rsidP="00FB2906">
            <w:pPr>
              <w:pStyle w:val="BlockText"/>
              <w:rPr>
                <w:sz w:val="22"/>
                <w:szCs w:val="22"/>
              </w:rPr>
            </w:pPr>
          </w:p>
          <w:p w14:paraId="7FE896FD" w14:textId="77777777" w:rsidR="00FB2906" w:rsidRPr="00DE1573" w:rsidRDefault="00FB2906" w:rsidP="00FB2906">
            <w:pPr>
              <w:pStyle w:val="BlockText"/>
            </w:pPr>
            <w:r w:rsidRPr="00DE1573">
              <w:rPr>
                <w:b/>
                <w:bCs/>
                <w:i/>
                <w:iCs/>
              </w:rPr>
              <w:lastRenderedPageBreak/>
              <w:t>Note</w:t>
            </w:r>
            <w:r w:rsidRPr="00DE1573">
              <w:t xml:space="preserve">:  Do </w:t>
            </w:r>
            <w:r w:rsidRPr="00DE1573">
              <w:rPr>
                <w:i/>
                <w:iCs/>
              </w:rPr>
              <w:t>not</w:t>
            </w:r>
            <w:r w:rsidRPr="00DE1573">
              <w:t xml:space="preserve"> request an examination or medical opinion until exposure has been established.</w:t>
            </w:r>
          </w:p>
          <w:p w14:paraId="4067F2A7" w14:textId="18F552E9" w:rsidR="00FB2906" w:rsidRPr="00DE1573" w:rsidRDefault="00FB2906" w:rsidP="00FB2906">
            <w:pPr>
              <w:pStyle w:val="BlockText"/>
            </w:pPr>
            <w:r w:rsidRPr="00DE1573">
              <w:t xml:space="preserve">  </w:t>
            </w:r>
          </w:p>
          <w:p w14:paraId="7A155549" w14:textId="43354A1A" w:rsidR="00570B52" w:rsidRPr="00DE1573" w:rsidRDefault="00FB2906" w:rsidP="001544BA">
            <w:r w:rsidRPr="00DE1573">
              <w:rPr>
                <w:b/>
                <w:i/>
              </w:rPr>
              <w:t>Reference</w:t>
            </w:r>
            <w:r w:rsidRPr="00DE1573">
              <w:t>:  For more information on establishing exposure to a claimed environmental hazard, see M21-1, Part IV, Subpart ii, 2.C.</w:t>
            </w:r>
            <w:r w:rsidR="00176A59" w:rsidRPr="00DE1573">
              <w:t>5.</w:t>
            </w:r>
            <w:r w:rsidR="001544BA" w:rsidRPr="00DE1573">
              <w:t>k</w:t>
            </w:r>
            <w:r w:rsidRPr="00DE1573">
              <w:t xml:space="preserve"> and </w:t>
            </w:r>
            <w:r w:rsidR="001544BA" w:rsidRPr="00DE1573">
              <w:t>l</w:t>
            </w:r>
            <w:r w:rsidRPr="00DE1573">
              <w:t>.</w:t>
            </w:r>
          </w:p>
        </w:tc>
      </w:tr>
    </w:tbl>
    <w:p w14:paraId="319F701A" w14:textId="77777777" w:rsidR="00A819A6" w:rsidRPr="00DE1573" w:rsidRDefault="00A819A6" w:rsidP="00A36A3A">
      <w:pPr>
        <w:pStyle w:val="BlockLine"/>
      </w:pPr>
    </w:p>
    <w:tbl>
      <w:tblPr>
        <w:tblW w:w="0" w:type="auto"/>
        <w:tblLayout w:type="fixed"/>
        <w:tblLook w:val="0000" w:firstRow="0" w:lastRow="0" w:firstColumn="0" w:lastColumn="0" w:noHBand="0" w:noVBand="0"/>
      </w:tblPr>
      <w:tblGrid>
        <w:gridCol w:w="1720"/>
        <w:gridCol w:w="7748"/>
      </w:tblGrid>
      <w:tr w:rsidR="00A819A6" w:rsidRPr="00DE1573" w14:paraId="319F7026" w14:textId="77777777" w:rsidTr="00A819A6">
        <w:tc>
          <w:tcPr>
            <w:tcW w:w="1720" w:type="dxa"/>
            <w:shd w:val="clear" w:color="auto" w:fill="auto"/>
          </w:tcPr>
          <w:p w14:paraId="319F701B" w14:textId="0816948A" w:rsidR="00A819A6" w:rsidRPr="00DE1573" w:rsidRDefault="00570B52" w:rsidP="00580413">
            <w:pPr>
              <w:pStyle w:val="Heading5"/>
            </w:pPr>
            <w:proofErr w:type="gramStart"/>
            <w:r w:rsidRPr="00DE1573">
              <w:t>g</w:t>
            </w:r>
            <w:r w:rsidR="00A819A6" w:rsidRPr="00DE1573">
              <w:t xml:space="preserve">.  </w:t>
            </w:r>
            <w:r w:rsidR="00580413" w:rsidRPr="00DE1573">
              <w:t>Centralized</w:t>
            </w:r>
            <w:proofErr w:type="gramEnd"/>
            <w:r w:rsidR="00580413" w:rsidRPr="00DE1573">
              <w:t xml:space="preserve"> Processing</w:t>
            </w:r>
            <w:r w:rsidR="00CC4E9D" w:rsidRPr="00DE1573">
              <w:t xml:space="preserve"> </w:t>
            </w:r>
            <w:r w:rsidR="0024770A" w:rsidRPr="00DE1573">
              <w:t>of</w:t>
            </w:r>
            <w:r w:rsidR="00A819A6" w:rsidRPr="00DE1573">
              <w:t xml:space="preserve"> Camp Lejeune</w:t>
            </w:r>
            <w:r w:rsidR="0019339A" w:rsidRPr="00DE1573">
              <w:t xml:space="preserve"> Claims</w:t>
            </w:r>
            <w:r w:rsidR="003753E5" w:rsidRPr="00DE1573">
              <w:t xml:space="preserve"> and Appeals</w:t>
            </w:r>
            <w:r w:rsidR="00E05A3B" w:rsidRPr="00DE1573">
              <w:t xml:space="preserve"> to Louisville RO</w:t>
            </w:r>
            <w:r w:rsidR="00F721A8" w:rsidRPr="00DE1573">
              <w:t xml:space="preserve"> </w:t>
            </w:r>
          </w:p>
        </w:tc>
        <w:tc>
          <w:tcPr>
            <w:tcW w:w="7748" w:type="dxa"/>
            <w:shd w:val="clear" w:color="auto" w:fill="auto"/>
          </w:tcPr>
          <w:p w14:paraId="319F701E" w14:textId="0329B894" w:rsidR="00A819A6" w:rsidRPr="00DE1573" w:rsidRDefault="00580413" w:rsidP="00A819A6">
            <w:pPr>
              <w:pStyle w:val="BlockText"/>
            </w:pPr>
            <w:r w:rsidRPr="00DE1573">
              <w:t xml:space="preserve">The Louisville RO processes </w:t>
            </w:r>
            <w:r w:rsidR="00A819A6" w:rsidRPr="00DE1573">
              <w:t xml:space="preserve">all </w:t>
            </w:r>
            <w:r w:rsidRPr="00DE1573">
              <w:t xml:space="preserve">disability </w:t>
            </w:r>
            <w:r w:rsidR="00A819A6" w:rsidRPr="00DE1573">
              <w:t>claims</w:t>
            </w:r>
            <w:r w:rsidR="00E05A3B" w:rsidRPr="00DE1573">
              <w:t xml:space="preserve"> and appeals</w:t>
            </w:r>
            <w:r w:rsidR="00A819A6" w:rsidRPr="00DE1573">
              <w:t xml:space="preserve"> </w:t>
            </w:r>
            <w:r w:rsidR="005B5573" w:rsidRPr="00DE1573">
              <w:t xml:space="preserve">that are </w:t>
            </w:r>
            <w:r w:rsidR="00A819A6" w:rsidRPr="00DE1573">
              <w:t>based on exposure to contaminated</w:t>
            </w:r>
            <w:r w:rsidR="00CC258D" w:rsidRPr="00DE1573">
              <w:t xml:space="preserve"> </w:t>
            </w:r>
            <w:r w:rsidRPr="00DE1573">
              <w:t xml:space="preserve">drinking water at </w:t>
            </w:r>
            <w:r w:rsidR="001C3179" w:rsidRPr="00DE1573">
              <w:t>C</w:t>
            </w:r>
            <w:r w:rsidRPr="00DE1573">
              <w:t>amp Lejeune, including</w:t>
            </w:r>
            <w:r w:rsidR="002F2729" w:rsidRPr="00DE1573">
              <w:t xml:space="preserve"> claims contain</w:t>
            </w:r>
            <w:r w:rsidRPr="00DE1573">
              <w:t>ing</w:t>
            </w:r>
            <w:r w:rsidR="002F2729" w:rsidRPr="00DE1573">
              <w:t xml:space="preserve"> both Camp Lejeune and non-Camp Lejeune issues.</w:t>
            </w:r>
          </w:p>
          <w:p w14:paraId="319F701F" w14:textId="77777777" w:rsidR="00CC258D" w:rsidRPr="00DE1573" w:rsidRDefault="00CC258D" w:rsidP="00A819A6">
            <w:pPr>
              <w:pStyle w:val="BlockText"/>
            </w:pPr>
          </w:p>
          <w:p w14:paraId="319F7020" w14:textId="729ABC76" w:rsidR="0019339A" w:rsidRPr="00DE1573" w:rsidRDefault="00500C03" w:rsidP="0019339A">
            <w:pPr>
              <w:pStyle w:val="BlockText"/>
            </w:pPr>
            <w:r w:rsidRPr="00DE1573">
              <w:t>The Louisville RO will re</w:t>
            </w:r>
            <w:r w:rsidR="00CC258D" w:rsidRPr="00DE1573">
              <w:t>tain jurisdiction</w:t>
            </w:r>
            <w:r w:rsidR="00CC4E9D" w:rsidRPr="00DE1573">
              <w:t xml:space="preserve"> </w:t>
            </w:r>
            <w:r w:rsidR="00E0379D" w:rsidRPr="00DE1573">
              <w:t>of</w:t>
            </w:r>
            <w:r w:rsidR="002B164F" w:rsidRPr="00DE1573">
              <w:t xml:space="preserve"> the Camp Lejeune</w:t>
            </w:r>
            <w:r w:rsidR="00766B04" w:rsidRPr="00DE1573">
              <w:t xml:space="preserve"> </w:t>
            </w:r>
            <w:r w:rsidR="0019339A" w:rsidRPr="00DE1573">
              <w:t>claims</w:t>
            </w:r>
            <w:r w:rsidR="00CC258D" w:rsidRPr="00DE1573">
              <w:t xml:space="preserve"> until </w:t>
            </w:r>
          </w:p>
          <w:p w14:paraId="319F7021" w14:textId="77777777" w:rsidR="0019339A" w:rsidRPr="00DE1573" w:rsidRDefault="0019339A" w:rsidP="0019339A">
            <w:pPr>
              <w:pStyle w:val="BlockText"/>
            </w:pPr>
          </w:p>
          <w:p w14:paraId="319F7022" w14:textId="77777777" w:rsidR="0019339A" w:rsidRPr="00DE1573" w:rsidRDefault="00CC4E9D" w:rsidP="0019339A">
            <w:pPr>
              <w:pStyle w:val="BulletText1"/>
            </w:pPr>
            <w:r w:rsidRPr="00DE1573">
              <w:t>all Camp Lejeune</w:t>
            </w:r>
            <w:r w:rsidR="0019339A" w:rsidRPr="00DE1573">
              <w:t xml:space="preserve"> </w:t>
            </w:r>
            <w:r w:rsidR="00766B04" w:rsidRPr="00DE1573">
              <w:t>issues</w:t>
            </w:r>
            <w:r w:rsidR="0019339A" w:rsidRPr="00DE1573">
              <w:t xml:space="preserve"> are decided, and</w:t>
            </w:r>
          </w:p>
          <w:p w14:paraId="319F7023" w14:textId="77777777" w:rsidR="00A819A6" w:rsidRPr="00DE1573" w:rsidRDefault="0019339A" w:rsidP="0019339A">
            <w:pPr>
              <w:pStyle w:val="BulletText1"/>
            </w:pPr>
            <w:proofErr w:type="gramStart"/>
            <w:r w:rsidRPr="00DE1573">
              <w:t>no</w:t>
            </w:r>
            <w:proofErr w:type="gramEnd"/>
            <w:r w:rsidRPr="00DE1573">
              <w:t xml:space="preserve"> appeal has been received within the one-year appeal period.</w:t>
            </w:r>
          </w:p>
          <w:p w14:paraId="319F7024" w14:textId="77777777" w:rsidR="00CC4E9D" w:rsidRPr="00DE1573" w:rsidRDefault="00CC4E9D" w:rsidP="00CC4E9D">
            <w:pPr>
              <w:pStyle w:val="BlockText"/>
            </w:pPr>
          </w:p>
          <w:p w14:paraId="319F7025" w14:textId="77777777" w:rsidR="00CC4E9D" w:rsidRPr="00DE1573" w:rsidRDefault="00CC4E9D" w:rsidP="002541AA">
            <w:pPr>
              <w:pStyle w:val="BlockText"/>
            </w:pPr>
            <w:r w:rsidRPr="00DE1573">
              <w:rPr>
                <w:b/>
                <w:i/>
              </w:rPr>
              <w:t>Note</w:t>
            </w:r>
            <w:r w:rsidRPr="00DE1573">
              <w:t xml:space="preserve">:  </w:t>
            </w:r>
            <w:r w:rsidR="00E0379D" w:rsidRPr="00DE1573">
              <w:t xml:space="preserve">The Louisville RO </w:t>
            </w:r>
            <w:r w:rsidR="002541AA" w:rsidRPr="00DE1573">
              <w:t>has</w:t>
            </w:r>
            <w:r w:rsidR="00E0379D" w:rsidRPr="00DE1573">
              <w:t xml:space="preserve"> jurisdiction for any appeals received on Camp Lejeune claims and all other non-Camp Lejeune claims and/or appeals received during the one-year appeal period.</w:t>
            </w:r>
          </w:p>
        </w:tc>
      </w:tr>
    </w:tbl>
    <w:p w14:paraId="319F7027" w14:textId="7D28A4DA" w:rsidR="002541AA" w:rsidRPr="00DE1573" w:rsidRDefault="002541AA" w:rsidP="00E02841">
      <w:pPr>
        <w:pStyle w:val="BlockLine"/>
      </w:pPr>
    </w:p>
    <w:tbl>
      <w:tblPr>
        <w:tblW w:w="0" w:type="auto"/>
        <w:tblLayout w:type="fixed"/>
        <w:tblLook w:val="0000" w:firstRow="0" w:lastRow="0" w:firstColumn="0" w:lastColumn="0" w:noHBand="0" w:noVBand="0"/>
      </w:tblPr>
      <w:tblGrid>
        <w:gridCol w:w="1720"/>
        <w:gridCol w:w="7748"/>
      </w:tblGrid>
      <w:tr w:rsidR="002541AA" w:rsidRPr="00DE1573" w14:paraId="319F7036" w14:textId="77777777" w:rsidTr="002541AA">
        <w:tc>
          <w:tcPr>
            <w:tcW w:w="1720" w:type="dxa"/>
            <w:shd w:val="clear" w:color="auto" w:fill="auto"/>
          </w:tcPr>
          <w:p w14:paraId="319F7028" w14:textId="1B493AD4" w:rsidR="002541AA" w:rsidRPr="00DE1573" w:rsidRDefault="00570B52" w:rsidP="00695CC8">
            <w:pPr>
              <w:pStyle w:val="Heading5"/>
            </w:pPr>
            <w:proofErr w:type="gramStart"/>
            <w:r w:rsidRPr="00DE1573">
              <w:t>h</w:t>
            </w:r>
            <w:r w:rsidR="007637E4" w:rsidRPr="00DE1573">
              <w:t xml:space="preserve">.  </w:t>
            </w:r>
            <w:r w:rsidR="00D517E8" w:rsidRPr="00DE1573">
              <w:t>Actions</w:t>
            </w:r>
            <w:proofErr w:type="gramEnd"/>
            <w:r w:rsidR="00D517E8" w:rsidRPr="00DE1573">
              <w:t xml:space="preserve"> Taken by </w:t>
            </w:r>
            <w:r w:rsidR="005357D2" w:rsidRPr="00DE1573">
              <w:t>the OOJ</w:t>
            </w:r>
            <w:r w:rsidR="00D517E8" w:rsidRPr="00DE1573">
              <w:t xml:space="preserve"> Upon Receipt of a</w:t>
            </w:r>
            <w:r w:rsidR="007637E4" w:rsidRPr="00DE1573">
              <w:t xml:space="preserve"> Camp Lejeune Claim</w:t>
            </w:r>
            <w:r w:rsidR="00E05A3B" w:rsidRPr="00DE1573">
              <w:t xml:space="preserve"> or Appeal</w:t>
            </w:r>
            <w:r w:rsidR="00F721A8" w:rsidRPr="00DE1573">
              <w:t xml:space="preserve"> </w:t>
            </w:r>
          </w:p>
        </w:tc>
        <w:tc>
          <w:tcPr>
            <w:tcW w:w="7748" w:type="dxa"/>
            <w:shd w:val="clear" w:color="auto" w:fill="auto"/>
          </w:tcPr>
          <w:p w14:paraId="319F7029" w14:textId="77777777" w:rsidR="002541AA" w:rsidRPr="00DE1573" w:rsidRDefault="007637E4" w:rsidP="002541AA">
            <w:pPr>
              <w:pStyle w:val="BlockText"/>
            </w:pPr>
            <w:r w:rsidRPr="00DE1573">
              <w:t xml:space="preserve">Upon receipt of a </w:t>
            </w:r>
            <w:r w:rsidR="00532E65" w:rsidRPr="00DE1573">
              <w:t xml:space="preserve">substantially complete </w:t>
            </w:r>
            <w:r w:rsidR="00717666" w:rsidRPr="00DE1573">
              <w:t xml:space="preserve">claim or </w:t>
            </w:r>
            <w:r w:rsidRPr="00DE1573">
              <w:t xml:space="preserve">appeal containing at least one Camp Lejeune issue, the </w:t>
            </w:r>
            <w:r w:rsidR="00BC7D18" w:rsidRPr="00DE1573">
              <w:t>office of original jurisdiction (OOJ</w:t>
            </w:r>
            <w:r w:rsidRPr="00DE1573">
              <w:t>)</w:t>
            </w:r>
          </w:p>
          <w:p w14:paraId="319F702A" w14:textId="77777777" w:rsidR="00BC7D18" w:rsidRPr="00DE1573" w:rsidRDefault="00BC7D18" w:rsidP="002541AA">
            <w:pPr>
              <w:pStyle w:val="BlockText"/>
            </w:pPr>
          </w:p>
          <w:p w14:paraId="319F702B" w14:textId="16C3027D" w:rsidR="00D517E8" w:rsidRPr="00DE1573" w:rsidRDefault="00BC7D18" w:rsidP="00F67713">
            <w:pPr>
              <w:pStyle w:val="ListParagraph"/>
              <w:numPr>
                <w:ilvl w:val="0"/>
                <w:numId w:val="49"/>
              </w:numPr>
              <w:ind w:left="158" w:hanging="187"/>
            </w:pPr>
            <w:r w:rsidRPr="00DE1573">
              <w:t>notif</w:t>
            </w:r>
            <w:r w:rsidR="006E5FE4" w:rsidRPr="00DE1573">
              <w:t>ies</w:t>
            </w:r>
            <w:r w:rsidRPr="00DE1573">
              <w:t xml:space="preserve"> the claimant</w:t>
            </w:r>
            <w:r w:rsidR="00BC7C62" w:rsidRPr="00DE1573">
              <w:t xml:space="preserve"> by letter, using the </w:t>
            </w:r>
            <w:r w:rsidR="00BC7C62" w:rsidRPr="00DE1573">
              <w:rPr>
                <w:i/>
              </w:rPr>
              <w:t>Camp Lejeune Contaminated Water Letter</w:t>
            </w:r>
            <w:r w:rsidR="00BC7C62" w:rsidRPr="00DE1573">
              <w:t xml:space="preserve"> in Letter Creator,</w:t>
            </w:r>
            <w:r w:rsidRPr="00DE1573">
              <w:t xml:space="preserve"> </w:t>
            </w:r>
            <w:r w:rsidR="002F2729" w:rsidRPr="00DE1573">
              <w:t xml:space="preserve">that </w:t>
            </w:r>
            <w:r w:rsidRPr="00DE1573">
              <w:t>his/her claims folder has been transferred to the Louis</w:t>
            </w:r>
            <w:r w:rsidR="00D517E8" w:rsidRPr="00DE1573">
              <w:t xml:space="preserve">ville RO </w:t>
            </w:r>
          </w:p>
          <w:p w14:paraId="319F702C" w14:textId="7B0FC976" w:rsidR="00D517E8" w:rsidRPr="00DE1573" w:rsidRDefault="00D517E8" w:rsidP="00F67713">
            <w:pPr>
              <w:pStyle w:val="ListParagraph"/>
              <w:numPr>
                <w:ilvl w:val="0"/>
                <w:numId w:val="49"/>
              </w:numPr>
              <w:ind w:left="158" w:hanging="187"/>
            </w:pPr>
            <w:r w:rsidRPr="00DE1573">
              <w:t xml:space="preserve">establishes the appropriate </w:t>
            </w:r>
            <w:r w:rsidR="004342A5" w:rsidRPr="00DE1573">
              <w:t>EP</w:t>
            </w:r>
            <w:r w:rsidRPr="00DE1573">
              <w:t xml:space="preserve"> to control the Camp Lejeune issue</w:t>
            </w:r>
            <w:r w:rsidR="005357D2" w:rsidRPr="00DE1573">
              <w:t>,</w:t>
            </w:r>
            <w:r w:rsidRPr="00DE1573">
              <w:t xml:space="preserve"> as well as other claimed issues, </w:t>
            </w:r>
            <w:r w:rsidR="00E02841" w:rsidRPr="00DE1573">
              <w:t xml:space="preserve">but does </w:t>
            </w:r>
            <w:r w:rsidR="00E02841" w:rsidRPr="00DE1573">
              <w:rPr>
                <w:i/>
              </w:rPr>
              <w:t>not</w:t>
            </w:r>
            <w:r w:rsidR="00E02841" w:rsidRPr="00DE1573">
              <w:t xml:space="preserve"> ini</w:t>
            </w:r>
            <w:r w:rsidR="00A075F6" w:rsidRPr="00DE1573">
              <w:t>tiate development on the claim</w:t>
            </w:r>
          </w:p>
          <w:p w14:paraId="319F702D" w14:textId="6A72A541" w:rsidR="00A075F6" w:rsidRPr="00DE1573" w:rsidRDefault="00005171" w:rsidP="00F67713">
            <w:pPr>
              <w:pStyle w:val="ListParagraph"/>
              <w:numPr>
                <w:ilvl w:val="0"/>
                <w:numId w:val="49"/>
              </w:numPr>
              <w:ind w:left="158" w:hanging="187"/>
            </w:pPr>
            <w:r w:rsidRPr="00DE1573">
              <w:t xml:space="preserve">ensures the </w:t>
            </w:r>
            <w:r w:rsidR="00284F0A" w:rsidRPr="00DE1573">
              <w:t xml:space="preserve">claim and the </w:t>
            </w:r>
            <w:r w:rsidRPr="00DE1573">
              <w:t xml:space="preserve">Veteran’s claims folder </w:t>
            </w:r>
            <w:r w:rsidR="00284F0A" w:rsidRPr="00DE1573">
              <w:t>is</w:t>
            </w:r>
            <w:r w:rsidRPr="00DE1573">
              <w:t xml:space="preserve"> scanned and uploaded into VBMS</w:t>
            </w:r>
            <w:r w:rsidR="00A075F6" w:rsidRPr="00DE1573">
              <w:t>, and</w:t>
            </w:r>
          </w:p>
          <w:p w14:paraId="68057260" w14:textId="77777777" w:rsidR="00A075F6" w:rsidRPr="00DE1573" w:rsidRDefault="00E62C28" w:rsidP="00F67713">
            <w:pPr>
              <w:pStyle w:val="ListParagraph"/>
              <w:numPr>
                <w:ilvl w:val="0"/>
                <w:numId w:val="49"/>
              </w:numPr>
              <w:ind w:left="158" w:hanging="187"/>
            </w:pPr>
            <w:proofErr w:type="gramStart"/>
            <w:r w:rsidRPr="00DE1573">
              <w:t>input</w:t>
            </w:r>
            <w:r w:rsidR="00F67713" w:rsidRPr="00DE1573">
              <w:t>s</w:t>
            </w:r>
            <w:proofErr w:type="gramEnd"/>
            <w:r w:rsidRPr="00DE1573">
              <w:t xml:space="preserve"> claim attributes to facilitate reassignment to the Louisville RO.</w:t>
            </w:r>
          </w:p>
          <w:p w14:paraId="1EE0535D" w14:textId="77777777" w:rsidR="00BC7C62" w:rsidRPr="00DE1573" w:rsidRDefault="00BC7C62" w:rsidP="00BC7C62"/>
          <w:p w14:paraId="319F7035" w14:textId="37080BCE" w:rsidR="006E5FE4" w:rsidRPr="00DE1573" w:rsidRDefault="00BC7C62" w:rsidP="00BC7C62">
            <w:r w:rsidRPr="00DE1573">
              <w:rPr>
                <w:b/>
                <w:i/>
              </w:rPr>
              <w:t>Reference</w:t>
            </w:r>
            <w:r w:rsidRPr="00DE1573">
              <w:t>:  For more information about the Letter Creator tool, see the</w:t>
            </w:r>
            <w:r w:rsidR="00B91600" w:rsidRPr="00DE1573">
              <w:t xml:space="preserve"> </w:t>
            </w:r>
            <w:hyperlink r:id="rId30" w:history="1">
              <w:r w:rsidR="00B91600" w:rsidRPr="00DE1573">
                <w:rPr>
                  <w:rStyle w:val="Hyperlink"/>
                  <w:i/>
                </w:rPr>
                <w:t>Rating Job Aids</w:t>
              </w:r>
            </w:hyperlink>
            <w:r w:rsidR="00B91600" w:rsidRPr="00DE1573">
              <w:t xml:space="preserve"> webpage.</w:t>
            </w:r>
          </w:p>
        </w:tc>
      </w:tr>
    </w:tbl>
    <w:p w14:paraId="319F7063" w14:textId="77777777" w:rsidR="005B5573" w:rsidRPr="00DE1573" w:rsidRDefault="005B5573" w:rsidP="00A075F6">
      <w:pPr>
        <w:pStyle w:val="BlockLine"/>
      </w:pPr>
    </w:p>
    <w:tbl>
      <w:tblPr>
        <w:tblW w:w="0" w:type="auto"/>
        <w:tblLayout w:type="fixed"/>
        <w:tblLook w:val="0000" w:firstRow="0" w:lastRow="0" w:firstColumn="0" w:lastColumn="0" w:noHBand="0" w:noVBand="0"/>
      </w:tblPr>
      <w:tblGrid>
        <w:gridCol w:w="1720"/>
        <w:gridCol w:w="7748"/>
      </w:tblGrid>
      <w:tr w:rsidR="005B5573" w:rsidRPr="00DE1573" w14:paraId="319F706E" w14:textId="77777777" w:rsidTr="005B5573">
        <w:tc>
          <w:tcPr>
            <w:tcW w:w="1720" w:type="dxa"/>
            <w:shd w:val="clear" w:color="auto" w:fill="auto"/>
          </w:tcPr>
          <w:p w14:paraId="319F7064" w14:textId="524331BA" w:rsidR="005B5573" w:rsidRPr="00DE1573" w:rsidRDefault="006E5FE4" w:rsidP="005B5573">
            <w:pPr>
              <w:pStyle w:val="Heading5"/>
            </w:pPr>
            <w:proofErr w:type="spellStart"/>
            <w:proofErr w:type="gramStart"/>
            <w:r w:rsidRPr="00DE1573">
              <w:t>i</w:t>
            </w:r>
            <w:proofErr w:type="spellEnd"/>
            <w:r w:rsidR="005B5573" w:rsidRPr="00DE1573">
              <w:t>.  Action</w:t>
            </w:r>
            <w:r w:rsidR="003753E5" w:rsidRPr="00DE1573">
              <w:t>s</w:t>
            </w:r>
            <w:proofErr w:type="gramEnd"/>
            <w:r w:rsidR="005B5573" w:rsidRPr="00DE1573">
              <w:t xml:space="preserve"> Taken by</w:t>
            </w:r>
            <w:r w:rsidR="003753E5" w:rsidRPr="00DE1573">
              <w:t xml:space="preserve"> the</w:t>
            </w:r>
            <w:r w:rsidR="005B5573" w:rsidRPr="00DE1573">
              <w:t xml:space="preserve"> Louisville RO Upon Receipt of</w:t>
            </w:r>
            <w:r w:rsidR="003753E5" w:rsidRPr="00DE1573">
              <w:t xml:space="preserve"> a</w:t>
            </w:r>
            <w:r w:rsidR="005B5573" w:rsidRPr="00DE1573">
              <w:t xml:space="preserve"> Camp Lejeune Claim</w:t>
            </w:r>
            <w:r w:rsidR="00E05A3B" w:rsidRPr="00DE1573">
              <w:t xml:space="preserve"> or Appeal</w:t>
            </w:r>
          </w:p>
        </w:tc>
        <w:tc>
          <w:tcPr>
            <w:tcW w:w="7748" w:type="dxa"/>
            <w:shd w:val="clear" w:color="auto" w:fill="auto"/>
          </w:tcPr>
          <w:p w14:paraId="319F7065" w14:textId="77777777" w:rsidR="005B5573" w:rsidRPr="00DE1573" w:rsidRDefault="00FF4A6C" w:rsidP="00A24224">
            <w:pPr>
              <w:pStyle w:val="BlockText"/>
            </w:pPr>
            <w:r w:rsidRPr="00DE1573">
              <w:t>Upon receipt of a claims folder containing a Camp Lejeune claim or appeal</w:t>
            </w:r>
            <w:r w:rsidR="00A24224" w:rsidRPr="00DE1573">
              <w:t xml:space="preserve">, the Louisville RO </w:t>
            </w:r>
          </w:p>
          <w:p w14:paraId="319F7066" w14:textId="77777777" w:rsidR="00FF4A6C" w:rsidRPr="00DE1573" w:rsidRDefault="00FF4A6C" w:rsidP="00A24224">
            <w:pPr>
              <w:pStyle w:val="BlockText"/>
              <w:rPr>
                <w:sz w:val="22"/>
                <w:szCs w:val="22"/>
              </w:rPr>
            </w:pPr>
          </w:p>
          <w:p w14:paraId="319F7068" w14:textId="77777777" w:rsidR="00D4645A" w:rsidRPr="00DE1573" w:rsidRDefault="00D4645A" w:rsidP="0061795F">
            <w:pPr>
              <w:pStyle w:val="ListParagraph"/>
              <w:numPr>
                <w:ilvl w:val="0"/>
                <w:numId w:val="45"/>
              </w:numPr>
              <w:ind w:left="158" w:hanging="187"/>
            </w:pPr>
            <w:r w:rsidRPr="00DE1573">
              <w:t xml:space="preserve">if necessary, sends a section 5103 notice that includes a request for </w:t>
            </w:r>
          </w:p>
          <w:p w14:paraId="319F7069" w14:textId="77777777" w:rsidR="00D4645A" w:rsidRPr="00DE1573" w:rsidRDefault="00D4645A" w:rsidP="00D4645A">
            <w:pPr>
              <w:pStyle w:val="BulletText2"/>
            </w:pPr>
            <w:r w:rsidRPr="00DE1573">
              <w:t>the month and year of</w:t>
            </w:r>
            <w:r w:rsidR="00717666" w:rsidRPr="00DE1573">
              <w:t xml:space="preserve"> arrival and departure for </w:t>
            </w:r>
            <w:r w:rsidRPr="00DE1573">
              <w:t>Camp Lejeune</w:t>
            </w:r>
            <w:r w:rsidR="00717666" w:rsidRPr="00DE1573">
              <w:t xml:space="preserve"> service, and</w:t>
            </w:r>
          </w:p>
          <w:p w14:paraId="319F706A" w14:textId="77777777" w:rsidR="00717666" w:rsidRPr="00DE1573" w:rsidRDefault="00717666" w:rsidP="00D4645A">
            <w:pPr>
              <w:pStyle w:val="BulletText2"/>
            </w:pPr>
            <w:r w:rsidRPr="00DE1573">
              <w:t>where the Veteran lived (on-base or off-base) and worked on base</w:t>
            </w:r>
          </w:p>
          <w:p w14:paraId="319F706B" w14:textId="7D65C730" w:rsidR="00717666" w:rsidRPr="00DE1573" w:rsidRDefault="00717666" w:rsidP="00717666">
            <w:pPr>
              <w:pStyle w:val="BulletText1"/>
              <w:rPr>
                <w:rStyle w:val="referencecode1"/>
                <w:szCs w:val="20"/>
              </w:rPr>
            </w:pPr>
            <w:r w:rsidRPr="00DE1573">
              <w:t xml:space="preserve">enters the </w:t>
            </w:r>
            <w:r w:rsidRPr="00DE1573">
              <w:rPr>
                <w:i/>
              </w:rPr>
              <w:t>Environmental Hazard – Camp Lejeune</w:t>
            </w:r>
            <w:r w:rsidRPr="00DE1573">
              <w:t xml:space="preserve"> </w:t>
            </w:r>
            <w:r w:rsidR="0077104E" w:rsidRPr="00DE1573">
              <w:rPr>
                <w:rStyle w:val="referencecode1"/>
              </w:rPr>
              <w:t>s</w:t>
            </w:r>
            <w:r w:rsidRPr="00DE1573">
              <w:rPr>
                <w:rStyle w:val="referencecode1"/>
              </w:rPr>
              <w:t xml:space="preserve">pecial </w:t>
            </w:r>
            <w:r w:rsidR="0077104E" w:rsidRPr="00DE1573">
              <w:rPr>
                <w:rStyle w:val="referencecode1"/>
              </w:rPr>
              <w:t>i</w:t>
            </w:r>
            <w:r w:rsidRPr="00DE1573">
              <w:rPr>
                <w:rStyle w:val="referencecode1"/>
              </w:rPr>
              <w:t xml:space="preserve">ssue </w:t>
            </w:r>
            <w:r w:rsidR="00ED3F88" w:rsidRPr="00DE1573">
              <w:rPr>
                <w:rStyle w:val="referencecode1"/>
              </w:rPr>
              <w:t>indicator to the relevant contention(s)</w:t>
            </w:r>
          </w:p>
          <w:p w14:paraId="319F706C" w14:textId="029E7A9E" w:rsidR="00717666" w:rsidRPr="00DE1573" w:rsidRDefault="00717666" w:rsidP="00717666">
            <w:pPr>
              <w:pStyle w:val="BulletText1"/>
              <w:rPr>
                <w:rStyle w:val="referencecode1"/>
                <w:szCs w:val="20"/>
              </w:rPr>
            </w:pPr>
            <w:r w:rsidRPr="00DE1573">
              <w:rPr>
                <w:rStyle w:val="referencecode1"/>
              </w:rPr>
              <w:t xml:space="preserve">places a </w:t>
            </w:r>
            <w:r w:rsidR="004A6728" w:rsidRPr="00DE1573">
              <w:rPr>
                <w:rStyle w:val="referencecode1"/>
              </w:rPr>
              <w:t>c</w:t>
            </w:r>
            <w:r w:rsidRPr="00DE1573">
              <w:rPr>
                <w:rStyle w:val="referencecode1"/>
              </w:rPr>
              <w:t>orporate Camp Lejeune Flash on every Veteran’s record with verified service during any p</w:t>
            </w:r>
            <w:r w:rsidR="001C3179" w:rsidRPr="00DE1573">
              <w:rPr>
                <w:rStyle w:val="referencecode1"/>
              </w:rPr>
              <w:t>eriod between 195</w:t>
            </w:r>
            <w:r w:rsidR="00B867FD" w:rsidRPr="00DE1573">
              <w:rPr>
                <w:rStyle w:val="referencecode1"/>
              </w:rPr>
              <w:t>3</w:t>
            </w:r>
            <w:r w:rsidR="001C3179" w:rsidRPr="00DE1573">
              <w:rPr>
                <w:rStyle w:val="referencecode1"/>
              </w:rPr>
              <w:t xml:space="preserve"> and 1987</w:t>
            </w:r>
            <w:r w:rsidR="00A075F6" w:rsidRPr="00DE1573">
              <w:rPr>
                <w:rStyle w:val="referencecode1"/>
              </w:rPr>
              <w:t>, and</w:t>
            </w:r>
          </w:p>
          <w:p w14:paraId="319F706D" w14:textId="77777777" w:rsidR="009B05B8" w:rsidRPr="00DE1573" w:rsidRDefault="00717666" w:rsidP="009B05B8">
            <w:pPr>
              <w:pStyle w:val="BulletText1"/>
            </w:pPr>
            <w:proofErr w:type="gramStart"/>
            <w:r w:rsidRPr="00DE1573">
              <w:rPr>
                <w:rStyle w:val="referencecode1"/>
              </w:rPr>
              <w:t>for</w:t>
            </w:r>
            <w:proofErr w:type="gramEnd"/>
            <w:r w:rsidRPr="00DE1573">
              <w:rPr>
                <w:rStyle w:val="referencecode1"/>
              </w:rPr>
              <w:t xml:space="preserve"> </w:t>
            </w:r>
            <w:r w:rsidR="00766B04" w:rsidRPr="00DE1573">
              <w:rPr>
                <w:rStyle w:val="referencecode1"/>
              </w:rPr>
              <w:t>appeals, establishes EP 685 in addition to the standard EP.</w:t>
            </w:r>
          </w:p>
        </w:tc>
      </w:tr>
    </w:tbl>
    <w:p w14:paraId="319F7071" w14:textId="77777777" w:rsidR="00A075F6" w:rsidRPr="00DE1573" w:rsidRDefault="00A075F6" w:rsidP="00A075F6">
      <w:pPr>
        <w:pStyle w:val="BlockLine"/>
      </w:pPr>
    </w:p>
    <w:tbl>
      <w:tblPr>
        <w:tblW w:w="0" w:type="auto"/>
        <w:tblLayout w:type="fixed"/>
        <w:tblLook w:val="0000" w:firstRow="0" w:lastRow="0" w:firstColumn="0" w:lastColumn="0" w:noHBand="0" w:noVBand="0"/>
      </w:tblPr>
      <w:tblGrid>
        <w:gridCol w:w="1720"/>
        <w:gridCol w:w="7748"/>
      </w:tblGrid>
      <w:tr w:rsidR="009B05B8" w:rsidRPr="00DE1573" w14:paraId="319F7076" w14:textId="77777777" w:rsidTr="009B05B8">
        <w:tc>
          <w:tcPr>
            <w:tcW w:w="1720" w:type="dxa"/>
            <w:shd w:val="clear" w:color="auto" w:fill="auto"/>
          </w:tcPr>
          <w:p w14:paraId="319F7072" w14:textId="76D78EE0" w:rsidR="009B05B8" w:rsidRPr="00DE1573" w:rsidRDefault="006E5FE4" w:rsidP="009B05B8">
            <w:pPr>
              <w:pStyle w:val="Heading5"/>
            </w:pPr>
            <w:proofErr w:type="gramStart"/>
            <w:r w:rsidRPr="00DE1573">
              <w:t>j</w:t>
            </w:r>
            <w:r w:rsidR="009B05B8" w:rsidRPr="00DE1573">
              <w:t>.  Verification</w:t>
            </w:r>
            <w:proofErr w:type="gramEnd"/>
            <w:r w:rsidR="009B05B8" w:rsidRPr="00DE1573">
              <w:t xml:space="preserve"> of Camp Lejeune Service</w:t>
            </w:r>
          </w:p>
        </w:tc>
        <w:tc>
          <w:tcPr>
            <w:tcW w:w="7748" w:type="dxa"/>
            <w:shd w:val="clear" w:color="auto" w:fill="auto"/>
          </w:tcPr>
          <w:p w14:paraId="319F7073" w14:textId="76224526" w:rsidR="00F83CBC" w:rsidRPr="00DE1573" w:rsidRDefault="00F83CBC" w:rsidP="009B05B8">
            <w:pPr>
              <w:pStyle w:val="BlockText"/>
            </w:pPr>
            <w:r w:rsidRPr="00DE1573">
              <w:rPr>
                <w:bCs/>
              </w:rPr>
              <w:t>If the Veteran is claiming Camp Lejeune service</w:t>
            </w:r>
            <w:r w:rsidR="001613B8" w:rsidRPr="00DE1573">
              <w:rPr>
                <w:bCs/>
              </w:rPr>
              <w:t xml:space="preserve"> between 195</w:t>
            </w:r>
            <w:r w:rsidR="00B867FD" w:rsidRPr="00DE1573">
              <w:rPr>
                <w:bCs/>
              </w:rPr>
              <w:t>3</w:t>
            </w:r>
            <w:r w:rsidR="001613B8" w:rsidRPr="00DE1573">
              <w:rPr>
                <w:bCs/>
              </w:rPr>
              <w:t xml:space="preserve"> and 1987</w:t>
            </w:r>
            <w:r w:rsidRPr="00DE1573">
              <w:rPr>
                <w:bCs/>
              </w:rPr>
              <w:t xml:space="preserve">, but </w:t>
            </w:r>
            <w:r w:rsidR="001613B8" w:rsidRPr="00DE1573">
              <w:rPr>
                <w:bCs/>
              </w:rPr>
              <w:t xml:space="preserve">military personnel and/or medical records </w:t>
            </w:r>
            <w:r w:rsidR="00871C25" w:rsidRPr="00DE1573">
              <w:rPr>
                <w:bCs/>
              </w:rPr>
              <w:t xml:space="preserve">or </w:t>
            </w:r>
            <w:r w:rsidR="001613B8" w:rsidRPr="00DE1573">
              <w:rPr>
                <w:bCs/>
              </w:rPr>
              <w:t>information obtained from the</w:t>
            </w:r>
            <w:r w:rsidR="00871C25" w:rsidRPr="00DE1573">
              <w:rPr>
                <w:bCs/>
              </w:rPr>
              <w:t xml:space="preserve"> Veteran</w:t>
            </w:r>
            <w:r w:rsidRPr="00DE1573">
              <w:rPr>
                <w:bCs/>
              </w:rPr>
              <w:t xml:space="preserve"> does not show it</w:t>
            </w:r>
            <w:r w:rsidR="00E0406A" w:rsidRPr="00DE1573">
              <w:rPr>
                <w:bCs/>
              </w:rPr>
              <w:t>,</w:t>
            </w:r>
            <w:r w:rsidR="00CA40E9" w:rsidRPr="00DE1573">
              <w:rPr>
                <w:bCs/>
              </w:rPr>
              <w:t xml:space="preserve"> </w:t>
            </w:r>
            <w:r w:rsidR="0008046F" w:rsidRPr="00DE1573">
              <w:rPr>
                <w:bCs/>
              </w:rPr>
              <w:t>request records as provided in M21-1, Part III, Subpart iii, 2.E.</w:t>
            </w:r>
            <w:r w:rsidR="00E0406A" w:rsidRPr="00DE1573">
              <w:rPr>
                <w:bCs/>
              </w:rPr>
              <w:t>7</w:t>
            </w:r>
            <w:r w:rsidR="0008046F" w:rsidRPr="00DE1573">
              <w:rPr>
                <w:bCs/>
              </w:rPr>
              <w:t>.c.</w:t>
            </w:r>
            <w:r w:rsidR="001613B8" w:rsidRPr="00DE1573">
              <w:rPr>
                <w:bCs/>
              </w:rPr>
              <w:t xml:space="preserve">  These records may </w:t>
            </w:r>
            <w:r w:rsidRPr="00DE1573">
              <w:rPr>
                <w:bCs/>
              </w:rPr>
              <w:t xml:space="preserve">verify </w:t>
            </w:r>
            <w:r w:rsidR="00133933" w:rsidRPr="00DE1573">
              <w:rPr>
                <w:bCs/>
              </w:rPr>
              <w:t xml:space="preserve">Camp Lejeune </w:t>
            </w:r>
            <w:r w:rsidRPr="00DE1573">
              <w:rPr>
                <w:bCs/>
              </w:rPr>
              <w:t>service through temporary duty</w:t>
            </w:r>
            <w:r w:rsidR="0077104E" w:rsidRPr="00DE1573">
              <w:rPr>
                <w:bCs/>
              </w:rPr>
              <w:t xml:space="preserve"> (TDY)</w:t>
            </w:r>
            <w:r w:rsidRPr="00DE1573">
              <w:rPr>
                <w:bCs/>
              </w:rPr>
              <w:t xml:space="preserve"> orders or performance evaluations.</w:t>
            </w:r>
          </w:p>
          <w:p w14:paraId="319F7074" w14:textId="77777777" w:rsidR="00F83CBC" w:rsidRPr="00DE1573" w:rsidRDefault="00F83CBC" w:rsidP="009B05B8">
            <w:pPr>
              <w:pStyle w:val="BlockText"/>
            </w:pPr>
          </w:p>
          <w:p w14:paraId="319F7075" w14:textId="1BC3B91E" w:rsidR="009B05B8" w:rsidRPr="00DE1573" w:rsidRDefault="00F83CBC" w:rsidP="00F83CBC">
            <w:pPr>
              <w:pStyle w:val="BlockText"/>
            </w:pPr>
            <w:r w:rsidRPr="00DE1573">
              <w:rPr>
                <w:b/>
                <w:i/>
              </w:rPr>
              <w:t>Note</w:t>
            </w:r>
            <w:r w:rsidRPr="00DE1573">
              <w:t xml:space="preserve">:  </w:t>
            </w:r>
            <w:r w:rsidR="009B05B8" w:rsidRPr="00DE1573">
              <w:t>It is important to verify that the Veteran’s service at Camp Lejeune occurred during the period of water contamination, 195</w:t>
            </w:r>
            <w:r w:rsidR="00B867FD" w:rsidRPr="00DE1573">
              <w:t>3</w:t>
            </w:r>
            <w:r w:rsidR="009B05B8" w:rsidRPr="00DE1573">
              <w:t xml:space="preserve"> to 1987.</w:t>
            </w:r>
          </w:p>
        </w:tc>
      </w:tr>
    </w:tbl>
    <w:p w14:paraId="6823C0F4" w14:textId="77777777" w:rsidR="00C25BDC" w:rsidRPr="00DE1573" w:rsidRDefault="00C25BDC" w:rsidP="00C25BDC">
      <w:pPr>
        <w:pStyle w:val="ContinuedOnNextPa"/>
        <w:jc w:val="left"/>
      </w:pPr>
    </w:p>
    <w:p w14:paraId="621145FB" w14:textId="218158CF" w:rsidR="00C25BDC" w:rsidRPr="00DE1573" w:rsidRDefault="00C25BDC" w:rsidP="00C25BDC">
      <w:pPr>
        <w:rPr>
          <w:rFonts w:ascii="Arial" w:hAnsi="Arial" w:cs="Arial"/>
          <w:b/>
          <w:sz w:val="32"/>
          <w:szCs w:val="32"/>
        </w:rPr>
      </w:pPr>
      <w:r w:rsidRPr="00DE1573">
        <w:br w:type="page"/>
      </w:r>
      <w:r w:rsidR="00327641" w:rsidRPr="00DE1573">
        <w:rPr>
          <w:rFonts w:ascii="Arial" w:hAnsi="Arial" w:cs="Arial"/>
          <w:b/>
          <w:sz w:val="32"/>
          <w:szCs w:val="32"/>
        </w:rPr>
        <w:lastRenderedPageBreak/>
        <w:t>7</w:t>
      </w:r>
      <w:r w:rsidRPr="00DE1573">
        <w:rPr>
          <w:rFonts w:ascii="Arial" w:hAnsi="Arial" w:cs="Arial"/>
          <w:b/>
          <w:sz w:val="32"/>
          <w:szCs w:val="32"/>
        </w:rPr>
        <w:t xml:space="preserve">. </w:t>
      </w:r>
      <w:r w:rsidR="005E1929" w:rsidRPr="00DE1573">
        <w:rPr>
          <w:rFonts w:ascii="Arial" w:hAnsi="Arial" w:cs="Arial"/>
          <w:b/>
          <w:sz w:val="32"/>
          <w:szCs w:val="32"/>
        </w:rPr>
        <w:t xml:space="preserve"> </w:t>
      </w:r>
      <w:r w:rsidRPr="00DE1573">
        <w:rPr>
          <w:rFonts w:ascii="Arial" w:hAnsi="Arial" w:cs="Arial"/>
          <w:b/>
          <w:sz w:val="32"/>
          <w:szCs w:val="32"/>
        </w:rPr>
        <w:t xml:space="preserve">Developing Claims Based </w:t>
      </w:r>
      <w:r w:rsidR="00E70C69" w:rsidRPr="00DE1573">
        <w:rPr>
          <w:rFonts w:ascii="Arial" w:hAnsi="Arial" w:cs="Arial"/>
          <w:b/>
          <w:sz w:val="32"/>
          <w:szCs w:val="32"/>
        </w:rPr>
        <w:t>o</w:t>
      </w:r>
      <w:r w:rsidRPr="00DE1573">
        <w:rPr>
          <w:rFonts w:ascii="Arial" w:hAnsi="Arial" w:cs="Arial"/>
          <w:b/>
          <w:sz w:val="32"/>
          <w:szCs w:val="32"/>
        </w:rPr>
        <w:t xml:space="preserve">n Participation in the SHAD Project </w:t>
      </w:r>
    </w:p>
    <w:p w14:paraId="4BB68A45" w14:textId="77777777" w:rsidR="00C25BDC" w:rsidRPr="00DE1573" w:rsidRDefault="00C25BDC" w:rsidP="00C25BDC">
      <w:pPr>
        <w:tabs>
          <w:tab w:val="left" w:pos="9360"/>
        </w:tabs>
        <w:ind w:left="1714"/>
      </w:pPr>
      <w:r w:rsidRPr="00DE1573">
        <w:rPr>
          <w:u w:val="single"/>
        </w:rPr>
        <w:tab/>
      </w:r>
    </w:p>
    <w:p w14:paraId="34E35BF9" w14:textId="77777777" w:rsidR="00C25BDC" w:rsidRPr="00DE1573" w:rsidRDefault="00C25BDC" w:rsidP="00C25BDC">
      <w:pPr>
        <w:ind w:left="1714"/>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25BDC" w:rsidRPr="00DE1573" w14:paraId="567F85C2" w14:textId="77777777" w:rsidTr="009A6BE8">
        <w:tc>
          <w:tcPr>
            <w:tcW w:w="1728" w:type="dxa"/>
            <w:shd w:val="clear" w:color="auto" w:fill="auto"/>
          </w:tcPr>
          <w:p w14:paraId="114C304F" w14:textId="77777777" w:rsidR="00C25BDC" w:rsidRPr="00DE1573" w:rsidRDefault="00C25BDC" w:rsidP="00C25BDC">
            <w:pPr>
              <w:rPr>
                <w:b/>
                <w:sz w:val="22"/>
              </w:rPr>
            </w:pPr>
            <w:r w:rsidRPr="00DE1573">
              <w:rPr>
                <w:b/>
                <w:sz w:val="22"/>
              </w:rPr>
              <w:t>Introduction</w:t>
            </w:r>
          </w:p>
        </w:tc>
        <w:tc>
          <w:tcPr>
            <w:tcW w:w="7740" w:type="dxa"/>
            <w:shd w:val="clear" w:color="auto" w:fill="auto"/>
          </w:tcPr>
          <w:p w14:paraId="32E5F9CD" w14:textId="161C0829" w:rsidR="00C25BDC" w:rsidRPr="00DE1573" w:rsidRDefault="00C25BDC" w:rsidP="00C25BDC">
            <w:r w:rsidRPr="00DE1573">
              <w:t>This topic contains information on developing claims based on participation in the SHAD project</w:t>
            </w:r>
            <w:r w:rsidR="00967315" w:rsidRPr="00DE1573">
              <w:t>, including</w:t>
            </w:r>
          </w:p>
          <w:p w14:paraId="3BAD02AB" w14:textId="77777777" w:rsidR="00C25BDC" w:rsidRPr="00DE1573" w:rsidRDefault="00C25BDC" w:rsidP="00C25BDC"/>
          <w:p w14:paraId="774C21C0" w14:textId="23AD3B74" w:rsidR="00C25BDC" w:rsidRPr="00DE1573" w:rsidRDefault="00C25BDC" w:rsidP="00DA4813">
            <w:pPr>
              <w:pStyle w:val="ListParagraph"/>
              <w:numPr>
                <w:ilvl w:val="0"/>
                <w:numId w:val="5"/>
              </w:numPr>
              <w:ind w:left="158" w:hanging="187"/>
            </w:pPr>
            <w:r w:rsidRPr="00DE1573">
              <w:t>background on</w:t>
            </w:r>
            <w:r w:rsidR="00C81D39" w:rsidRPr="00DE1573">
              <w:t xml:space="preserve"> the</w:t>
            </w:r>
            <w:r w:rsidRPr="00DE1573">
              <w:t xml:space="preserve"> </w:t>
            </w:r>
            <w:r w:rsidR="0077104E" w:rsidRPr="00DE1573">
              <w:t>SHAD Project</w:t>
            </w:r>
          </w:p>
          <w:p w14:paraId="3EB7B577" w14:textId="77777777" w:rsidR="00C25BDC" w:rsidRPr="00DE1573" w:rsidRDefault="00C25BDC" w:rsidP="00DA4813">
            <w:pPr>
              <w:pStyle w:val="ListParagraph"/>
              <w:numPr>
                <w:ilvl w:val="0"/>
                <w:numId w:val="6"/>
              </w:numPr>
              <w:ind w:left="158" w:hanging="187"/>
            </w:pPr>
            <w:r w:rsidRPr="00DE1573">
              <w:t>identifying a SHAD Claim</w:t>
            </w:r>
          </w:p>
          <w:p w14:paraId="5CA23598" w14:textId="47CEA788" w:rsidR="00C25BDC" w:rsidRPr="00DE1573" w:rsidRDefault="004342A5" w:rsidP="00DA4813">
            <w:pPr>
              <w:pStyle w:val="ListParagraph"/>
              <w:numPr>
                <w:ilvl w:val="0"/>
                <w:numId w:val="6"/>
              </w:numPr>
              <w:ind w:left="158" w:hanging="187"/>
            </w:pPr>
            <w:r w:rsidRPr="00DE1573">
              <w:t>EP</w:t>
            </w:r>
            <w:r w:rsidR="00C25BDC" w:rsidRPr="00DE1573">
              <w:t xml:space="preserve"> control of SHAD claims</w:t>
            </w:r>
          </w:p>
          <w:p w14:paraId="6EF7F0C5" w14:textId="54225A1B" w:rsidR="00E365E3" w:rsidRPr="00DE1573" w:rsidRDefault="00E365E3" w:rsidP="00DA4813">
            <w:pPr>
              <w:pStyle w:val="ListParagraph"/>
              <w:numPr>
                <w:ilvl w:val="0"/>
                <w:numId w:val="6"/>
              </w:numPr>
              <w:ind w:left="158" w:hanging="187"/>
            </w:pPr>
            <w:r w:rsidRPr="00DE1573">
              <w:t>requesting access to the</w:t>
            </w:r>
            <w:r w:rsidR="00377F02" w:rsidRPr="00DE1573">
              <w:t xml:space="preserve"> U.S. </w:t>
            </w:r>
            <w:r w:rsidR="00717F63" w:rsidRPr="00DE1573">
              <w:t>Do</w:t>
            </w:r>
            <w:r w:rsidRPr="00DE1573">
              <w:t>D</w:t>
            </w:r>
            <w:r w:rsidR="00377F02" w:rsidRPr="00DE1573">
              <w:t xml:space="preserve"> and VA Chemical Biological Warfare Exposure System (</w:t>
            </w:r>
            <w:proofErr w:type="spellStart"/>
            <w:r w:rsidR="00377F02" w:rsidRPr="00DE1573">
              <w:t>Chem</w:t>
            </w:r>
            <w:proofErr w:type="spellEnd"/>
            <w:r w:rsidR="00377F02" w:rsidRPr="00DE1573">
              <w:t>-Bio)</w:t>
            </w:r>
            <w:r w:rsidRPr="00DE1573">
              <w:t xml:space="preserve"> Database</w:t>
            </w:r>
          </w:p>
          <w:p w14:paraId="28B973AB" w14:textId="77777777" w:rsidR="00C25BDC" w:rsidRPr="00DE1573" w:rsidRDefault="00C25BDC" w:rsidP="00DA4813">
            <w:pPr>
              <w:pStyle w:val="ListParagraph"/>
              <w:numPr>
                <w:ilvl w:val="0"/>
                <w:numId w:val="6"/>
              </w:numPr>
              <w:ind w:left="158" w:hanging="187"/>
            </w:pPr>
            <w:r w:rsidRPr="00DE1573">
              <w:t xml:space="preserve">verification of participation and SHAD Manager notification </w:t>
            </w:r>
          </w:p>
          <w:p w14:paraId="046CE41E" w14:textId="7168FF2B" w:rsidR="00C25BDC" w:rsidRPr="00DE1573" w:rsidRDefault="00A25B9D" w:rsidP="00DA4813">
            <w:pPr>
              <w:pStyle w:val="ListParagraph"/>
              <w:numPr>
                <w:ilvl w:val="0"/>
                <w:numId w:val="7"/>
              </w:numPr>
              <w:ind w:left="158" w:hanging="187"/>
            </w:pPr>
            <w:r w:rsidRPr="00DE1573">
              <w:t xml:space="preserve">action to take upon receipt of </w:t>
            </w:r>
            <w:r w:rsidR="00C25BDC" w:rsidRPr="00DE1573">
              <w:t>final negative response</w:t>
            </w:r>
            <w:r w:rsidRPr="00DE1573">
              <w:t xml:space="preserve"> from DOD</w:t>
            </w:r>
            <w:r w:rsidR="00C25BDC" w:rsidRPr="00DE1573">
              <w:t xml:space="preserve"> regarding SHAD participation</w:t>
            </w:r>
            <w:r w:rsidR="007E6655" w:rsidRPr="00DE1573">
              <w:t>, and</w:t>
            </w:r>
          </w:p>
          <w:p w14:paraId="5BCCAFC2" w14:textId="23A2FFDE" w:rsidR="00C25BDC" w:rsidRPr="00DE1573" w:rsidRDefault="00C25BDC" w:rsidP="00DA4813">
            <w:pPr>
              <w:pStyle w:val="ListParagraph"/>
              <w:numPr>
                <w:ilvl w:val="0"/>
                <w:numId w:val="7"/>
              </w:numPr>
              <w:ind w:left="158" w:hanging="187"/>
            </w:pPr>
            <w:proofErr w:type="gramStart"/>
            <w:r w:rsidRPr="00DE1573">
              <w:t>procedure</w:t>
            </w:r>
            <w:proofErr w:type="gramEnd"/>
            <w:r w:rsidRPr="00DE1573">
              <w:t xml:space="preserve"> when </w:t>
            </w:r>
            <w:r w:rsidR="00BA32AC" w:rsidRPr="00DE1573">
              <w:t>receiving confirmation of SHAD participation</w:t>
            </w:r>
            <w:r w:rsidR="007E6655" w:rsidRPr="00DE1573">
              <w:t>.</w:t>
            </w:r>
          </w:p>
        </w:tc>
      </w:tr>
    </w:tbl>
    <w:p w14:paraId="753B4CF9" w14:textId="6078138F" w:rsidR="00C25BDC" w:rsidRPr="00DE1573" w:rsidRDefault="00C25BDC" w:rsidP="00C25BDC">
      <w:pPr>
        <w:tabs>
          <w:tab w:val="left" w:pos="9360"/>
        </w:tabs>
        <w:ind w:left="1714"/>
      </w:pPr>
      <w:r w:rsidRPr="00DE1573">
        <w:rPr>
          <w:u w:val="single"/>
        </w:rPr>
        <w:tab/>
      </w:r>
    </w:p>
    <w:p w14:paraId="7F04E311" w14:textId="77777777" w:rsidR="00C25BDC" w:rsidRPr="00DE1573" w:rsidRDefault="00C25BDC" w:rsidP="00C25BDC">
      <w:pPr>
        <w:ind w:left="1714"/>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25BDC" w:rsidRPr="00DE1573" w14:paraId="6D9612C8" w14:textId="77777777" w:rsidTr="009A6BE8">
        <w:tc>
          <w:tcPr>
            <w:tcW w:w="1728" w:type="dxa"/>
            <w:shd w:val="clear" w:color="auto" w:fill="auto"/>
          </w:tcPr>
          <w:p w14:paraId="7987F1B1" w14:textId="77777777" w:rsidR="00C25BDC" w:rsidRPr="00DE1573" w:rsidRDefault="00C25BDC" w:rsidP="00C25BDC">
            <w:pPr>
              <w:rPr>
                <w:b/>
                <w:sz w:val="22"/>
              </w:rPr>
            </w:pPr>
            <w:r w:rsidRPr="00DE1573">
              <w:rPr>
                <w:b/>
                <w:sz w:val="22"/>
              </w:rPr>
              <w:t>Change Date</w:t>
            </w:r>
          </w:p>
        </w:tc>
        <w:tc>
          <w:tcPr>
            <w:tcW w:w="7740" w:type="dxa"/>
            <w:shd w:val="clear" w:color="auto" w:fill="auto"/>
          </w:tcPr>
          <w:p w14:paraId="6F501081" w14:textId="36FA7C60" w:rsidR="00C25BDC" w:rsidRPr="00DE1573" w:rsidRDefault="00F35F0E" w:rsidP="00C25BDC">
            <w:r w:rsidRPr="00DE1573">
              <w:t>August 7</w:t>
            </w:r>
            <w:r w:rsidR="00321A50" w:rsidRPr="00DE1573">
              <w:t>, 2015</w:t>
            </w:r>
          </w:p>
        </w:tc>
      </w:tr>
    </w:tbl>
    <w:p w14:paraId="315B6E7B" w14:textId="77777777" w:rsidR="00C25BDC" w:rsidRPr="00DE1573" w:rsidRDefault="00C25BDC" w:rsidP="00C25BDC">
      <w:pPr>
        <w:tabs>
          <w:tab w:val="left" w:pos="9360"/>
        </w:tabs>
        <w:ind w:left="1714"/>
      </w:pPr>
      <w:r w:rsidRPr="00DE1573">
        <w:rPr>
          <w:u w:val="single"/>
        </w:rPr>
        <w:tab/>
      </w:r>
    </w:p>
    <w:p w14:paraId="1BAA26D9" w14:textId="77777777" w:rsidR="00C25BDC" w:rsidRPr="00DE1573" w:rsidRDefault="00C25BDC" w:rsidP="00C25BDC">
      <w:pPr>
        <w:tabs>
          <w:tab w:val="left" w:pos="9360"/>
        </w:tabs>
        <w:ind w:left="1714"/>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25BDC" w:rsidRPr="00DE1573" w14:paraId="1F982425" w14:textId="77777777" w:rsidTr="009A6BE8">
        <w:tc>
          <w:tcPr>
            <w:tcW w:w="1728" w:type="dxa"/>
            <w:shd w:val="clear" w:color="auto" w:fill="auto"/>
          </w:tcPr>
          <w:p w14:paraId="69A11537" w14:textId="1AD22FA5" w:rsidR="00C25BDC" w:rsidRPr="00DE1573" w:rsidRDefault="00C25BDC" w:rsidP="00C25BDC">
            <w:pPr>
              <w:tabs>
                <w:tab w:val="left" w:pos="9360"/>
              </w:tabs>
              <w:rPr>
                <w:b/>
                <w:sz w:val="22"/>
              </w:rPr>
            </w:pPr>
            <w:r w:rsidRPr="00DE1573">
              <w:rPr>
                <w:b/>
                <w:sz w:val="22"/>
              </w:rPr>
              <w:t>a.</w:t>
            </w:r>
            <w:r w:rsidR="005E1929" w:rsidRPr="00DE1573">
              <w:rPr>
                <w:b/>
                <w:sz w:val="22"/>
              </w:rPr>
              <w:t xml:space="preserve"> </w:t>
            </w:r>
            <w:r w:rsidRPr="00DE1573">
              <w:rPr>
                <w:b/>
                <w:sz w:val="22"/>
              </w:rPr>
              <w:t xml:space="preserve"> Background on</w:t>
            </w:r>
            <w:r w:rsidR="00C81D39" w:rsidRPr="00DE1573">
              <w:rPr>
                <w:b/>
                <w:sz w:val="22"/>
              </w:rPr>
              <w:t xml:space="preserve"> the</w:t>
            </w:r>
            <w:r w:rsidRPr="00DE1573">
              <w:rPr>
                <w:b/>
                <w:sz w:val="22"/>
              </w:rPr>
              <w:t xml:space="preserve"> </w:t>
            </w:r>
            <w:r w:rsidR="0077104E" w:rsidRPr="00DE1573">
              <w:rPr>
                <w:b/>
                <w:sz w:val="22"/>
              </w:rPr>
              <w:t>SHAD Project</w:t>
            </w:r>
          </w:p>
        </w:tc>
        <w:tc>
          <w:tcPr>
            <w:tcW w:w="7740" w:type="dxa"/>
            <w:shd w:val="clear" w:color="auto" w:fill="auto"/>
          </w:tcPr>
          <w:p w14:paraId="0A7C1720" w14:textId="7A171B5D" w:rsidR="00C25BDC" w:rsidRPr="00DE1573" w:rsidRDefault="00C25BDC" w:rsidP="00C25BDC">
            <w:pPr>
              <w:tabs>
                <w:tab w:val="left" w:pos="9360"/>
              </w:tabs>
            </w:pPr>
            <w:r w:rsidRPr="00DE1573">
              <w:t>From 1962 to 197</w:t>
            </w:r>
            <w:r w:rsidR="00E365E3" w:rsidRPr="00DE1573">
              <w:t>4</w:t>
            </w:r>
            <w:r w:rsidR="00D058C7" w:rsidRPr="00DE1573">
              <w:t>,</w:t>
            </w:r>
            <w:r w:rsidRPr="00DE1573">
              <w:t xml:space="preserve"> the D</w:t>
            </w:r>
            <w:r w:rsidR="00D058C7" w:rsidRPr="00DE1573">
              <w:t>o</w:t>
            </w:r>
            <w:r w:rsidRPr="00DE1573">
              <w:t xml:space="preserve">D conducted the Shipboard Hazards and Defense (SHAD) </w:t>
            </w:r>
            <w:r w:rsidR="00D058C7" w:rsidRPr="00DE1573">
              <w:t>P</w:t>
            </w:r>
            <w:r w:rsidRPr="00DE1573">
              <w:t>roject to identify the vulnerabilities of U.S. warship</w:t>
            </w:r>
            <w:r w:rsidR="004342A5" w:rsidRPr="00DE1573">
              <w:t>s</w:t>
            </w:r>
            <w:r w:rsidRPr="00DE1573">
              <w:t xml:space="preserve"> to chemical and biological warfare agents.  </w:t>
            </w:r>
          </w:p>
          <w:p w14:paraId="558FE8B6" w14:textId="77777777" w:rsidR="00E365E3" w:rsidRPr="00DE1573" w:rsidRDefault="00E365E3" w:rsidP="00C25BDC">
            <w:pPr>
              <w:tabs>
                <w:tab w:val="left" w:pos="9360"/>
              </w:tabs>
            </w:pPr>
          </w:p>
          <w:p w14:paraId="3547CDB4" w14:textId="77777777" w:rsidR="00E365E3" w:rsidRPr="00DE1573" w:rsidRDefault="00E365E3" w:rsidP="00C25BDC">
            <w:pPr>
              <w:tabs>
                <w:tab w:val="left" w:pos="9360"/>
              </w:tabs>
            </w:pPr>
            <w:r w:rsidRPr="00DE1573">
              <w:t>Project SHAD encompassed tests designed to identify U.S. warships’ vulnerabilities to attacks with chemical or biological warfare agents and to develop procedures to respond to such attacks while maintaining a war-fighting capability.</w:t>
            </w:r>
          </w:p>
          <w:p w14:paraId="1EAB3CCC" w14:textId="77777777" w:rsidR="00E365E3" w:rsidRPr="00DE1573" w:rsidRDefault="00E365E3" w:rsidP="00C25BDC">
            <w:pPr>
              <w:tabs>
                <w:tab w:val="left" w:pos="9360"/>
              </w:tabs>
            </w:pPr>
          </w:p>
          <w:p w14:paraId="63B7DCA2" w14:textId="67CE44EA" w:rsidR="00E365E3" w:rsidRPr="00DE1573" w:rsidRDefault="00ED3F88" w:rsidP="00FA5E2F">
            <w:pPr>
              <w:tabs>
                <w:tab w:val="left" w:pos="9360"/>
              </w:tabs>
            </w:pPr>
            <w:r w:rsidRPr="00DE1573">
              <w:rPr>
                <w:b/>
                <w:i/>
              </w:rPr>
              <w:t>Reference</w:t>
            </w:r>
            <w:r w:rsidRPr="00DE1573">
              <w:t xml:space="preserve">:  For more information on </w:t>
            </w:r>
            <w:r w:rsidR="00E365E3" w:rsidRPr="00DE1573">
              <w:t>Project SHAD</w:t>
            </w:r>
            <w:r w:rsidRPr="00DE1573">
              <w:t xml:space="preserve">, see </w:t>
            </w:r>
            <w:r w:rsidR="00FA5E2F" w:rsidRPr="00DE1573">
              <w:t xml:space="preserve">the </w:t>
            </w:r>
            <w:hyperlink r:id="rId31" w:history="1">
              <w:r w:rsidR="00FA5E2F" w:rsidRPr="00DE1573">
                <w:t>Project 112/SHAD</w:t>
              </w:r>
              <w:r w:rsidR="00CE46D7" w:rsidRPr="00DE1573">
                <w:rPr>
                  <w:rStyle w:val="Hyperlink"/>
                  <w:u w:val="none"/>
                </w:rPr>
                <w:t xml:space="preserve"> </w:t>
              </w:r>
              <w:r w:rsidR="00E365E3" w:rsidRPr="00DE1573">
                <w:rPr>
                  <w:rStyle w:val="Hyperlink"/>
                </w:rPr>
                <w:t>Fact Sheets</w:t>
              </w:r>
            </w:hyperlink>
            <w:r w:rsidR="00CE46D7" w:rsidRPr="00DE1573">
              <w:t>.</w:t>
            </w:r>
          </w:p>
        </w:tc>
      </w:tr>
    </w:tbl>
    <w:p w14:paraId="2AAF6B7F" w14:textId="77777777" w:rsidR="00C25BDC" w:rsidRPr="00DE1573" w:rsidRDefault="00C25BDC" w:rsidP="00C25BDC">
      <w:pPr>
        <w:tabs>
          <w:tab w:val="left" w:pos="9360"/>
        </w:tabs>
        <w:ind w:left="1714"/>
      </w:pPr>
      <w:r w:rsidRPr="00DE1573">
        <w:rPr>
          <w:u w:val="single"/>
        </w:rPr>
        <w:tab/>
      </w:r>
    </w:p>
    <w:p w14:paraId="26BBA8A0" w14:textId="77777777" w:rsidR="00C25BDC" w:rsidRPr="00DE1573" w:rsidRDefault="00C25BDC" w:rsidP="00C25BDC">
      <w:pPr>
        <w:ind w:left="1714"/>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25BDC" w:rsidRPr="00DE1573" w14:paraId="54FE43DB" w14:textId="77777777" w:rsidTr="009A6BE8">
        <w:tc>
          <w:tcPr>
            <w:tcW w:w="1728" w:type="dxa"/>
            <w:shd w:val="clear" w:color="auto" w:fill="auto"/>
          </w:tcPr>
          <w:p w14:paraId="0840D287" w14:textId="66F2B67C" w:rsidR="00C25BDC" w:rsidRPr="00DE1573" w:rsidRDefault="00C25BDC" w:rsidP="00C25BDC">
            <w:pPr>
              <w:rPr>
                <w:b/>
                <w:sz w:val="22"/>
              </w:rPr>
            </w:pPr>
            <w:r w:rsidRPr="00DE1573">
              <w:rPr>
                <w:b/>
                <w:sz w:val="22"/>
              </w:rPr>
              <w:t>b.</w:t>
            </w:r>
            <w:r w:rsidR="005E1929" w:rsidRPr="00DE1573">
              <w:rPr>
                <w:b/>
                <w:sz w:val="22"/>
              </w:rPr>
              <w:t xml:space="preserve"> </w:t>
            </w:r>
            <w:r w:rsidRPr="00DE1573">
              <w:rPr>
                <w:b/>
                <w:sz w:val="22"/>
              </w:rPr>
              <w:t xml:space="preserve"> Identifying a SHAD Claim</w:t>
            </w:r>
          </w:p>
        </w:tc>
        <w:tc>
          <w:tcPr>
            <w:tcW w:w="7740" w:type="dxa"/>
            <w:shd w:val="clear" w:color="auto" w:fill="auto"/>
          </w:tcPr>
          <w:p w14:paraId="39D934B3" w14:textId="6CB2C998" w:rsidR="00C25BDC" w:rsidRPr="00DE1573" w:rsidRDefault="00C25BDC" w:rsidP="00C25BDC">
            <w:r w:rsidRPr="00DE1573">
              <w:t>Consider a claim to be a SHAD c</w:t>
            </w:r>
            <w:r w:rsidR="00E05A3B" w:rsidRPr="00DE1573">
              <w:t>laim</w:t>
            </w:r>
            <w:r w:rsidRPr="00DE1573">
              <w:t xml:space="preserve"> if the </w:t>
            </w:r>
            <w:r w:rsidR="00C81D39" w:rsidRPr="00DE1573">
              <w:t>Veteran</w:t>
            </w:r>
            <w:r w:rsidRPr="00DE1573">
              <w:t xml:space="preserve"> </w:t>
            </w:r>
            <w:r w:rsidR="0077104E" w:rsidRPr="00DE1573">
              <w:t>claim</w:t>
            </w:r>
            <w:r w:rsidRPr="00DE1573">
              <w:t xml:space="preserve">s disease or injury as a result of participation in </w:t>
            </w:r>
            <w:r w:rsidR="00B16AA7" w:rsidRPr="00DE1573">
              <w:t>the SHAD Project</w:t>
            </w:r>
            <w:r w:rsidRPr="00DE1573">
              <w:t>.  SHAD involved service members from the Navy and Marine Corps as well as a small number of personnel from the Army and Air Force.</w:t>
            </w:r>
          </w:p>
          <w:p w14:paraId="5CC77E95" w14:textId="77777777" w:rsidR="00C25BDC" w:rsidRPr="00DE1573" w:rsidRDefault="00C25BDC" w:rsidP="00C25BDC"/>
          <w:p w14:paraId="0DEF34F5" w14:textId="77777777" w:rsidR="001544BA" w:rsidRPr="00DE1573" w:rsidRDefault="00C25BDC" w:rsidP="00D039FC">
            <w:r w:rsidRPr="00DE1573">
              <w:rPr>
                <w:b/>
                <w:i/>
              </w:rPr>
              <w:t>Note</w:t>
            </w:r>
            <w:r w:rsidR="00015995" w:rsidRPr="00DE1573">
              <w:rPr>
                <w:b/>
                <w:i/>
              </w:rPr>
              <w:t>s</w:t>
            </w:r>
            <w:r w:rsidRPr="00DE1573">
              <w:t xml:space="preserve">:  </w:t>
            </w:r>
          </w:p>
          <w:p w14:paraId="625571BF" w14:textId="2CCF52E7" w:rsidR="00C25BDC" w:rsidRPr="00DE1573" w:rsidRDefault="0077104E" w:rsidP="001544BA">
            <w:pPr>
              <w:pStyle w:val="ListParagraph"/>
              <w:numPr>
                <w:ilvl w:val="0"/>
                <w:numId w:val="50"/>
              </w:numPr>
              <w:ind w:left="158" w:hanging="187"/>
            </w:pPr>
            <w:r w:rsidRPr="00DE1573">
              <w:t xml:space="preserve">The </w:t>
            </w:r>
            <w:r w:rsidR="00C25BDC" w:rsidRPr="00DE1573">
              <w:t>SHAD</w:t>
            </w:r>
            <w:r w:rsidRPr="00DE1573">
              <w:t xml:space="preserve"> Project</w:t>
            </w:r>
            <w:r w:rsidR="00C25BDC" w:rsidRPr="00DE1573">
              <w:t xml:space="preserve"> was part of a larger effort called Project 112, with test</w:t>
            </w:r>
            <w:r w:rsidR="00E0406A" w:rsidRPr="00DE1573">
              <w:t>s</w:t>
            </w:r>
            <w:r w:rsidR="00C25BDC" w:rsidRPr="00DE1573">
              <w:t xml:space="preserve"> being both ship and land</w:t>
            </w:r>
            <w:r w:rsidR="004342A5" w:rsidRPr="00DE1573">
              <w:t>-</w:t>
            </w:r>
            <w:r w:rsidR="00C25BDC" w:rsidRPr="00DE1573">
              <w:t xml:space="preserve">based.  For VA purposes, all claims resulting from participation in </w:t>
            </w:r>
            <w:r w:rsidR="00B16AA7" w:rsidRPr="00DE1573">
              <w:t xml:space="preserve">ship-based or land-based </w:t>
            </w:r>
            <w:r w:rsidR="00C25BDC" w:rsidRPr="00DE1573">
              <w:t>chemical or biological testing under these projects are considered SHAD claims.</w:t>
            </w:r>
          </w:p>
          <w:p w14:paraId="6C5005E0" w14:textId="46910D34" w:rsidR="00015995" w:rsidRPr="00DE1573" w:rsidRDefault="00015995" w:rsidP="00600077">
            <w:pPr>
              <w:pStyle w:val="ListParagraph"/>
              <w:numPr>
                <w:ilvl w:val="0"/>
                <w:numId w:val="51"/>
              </w:numPr>
              <w:ind w:left="158" w:hanging="187"/>
            </w:pPr>
            <w:r w:rsidRPr="00DE1573">
              <w:t xml:space="preserve">A claim </w:t>
            </w:r>
            <w:r w:rsidR="00B16AA7" w:rsidRPr="00DE1573">
              <w:t xml:space="preserve">in which the Veteran clearly served </w:t>
            </w:r>
            <w:r w:rsidRPr="00DE1573">
              <w:t xml:space="preserve">outside of </w:t>
            </w:r>
            <w:r w:rsidR="00B16AA7" w:rsidRPr="00DE1573">
              <w:t xml:space="preserve">the </w:t>
            </w:r>
            <w:r w:rsidRPr="00DE1573">
              <w:t>dates</w:t>
            </w:r>
            <w:r w:rsidR="00B16AA7" w:rsidRPr="00DE1573">
              <w:t xml:space="preserve"> SHAD was conducted</w:t>
            </w:r>
            <w:r w:rsidRPr="00DE1573">
              <w:t xml:space="preserve"> would not be considered a SHAD claim but could </w:t>
            </w:r>
            <w:r w:rsidR="00B16AA7" w:rsidRPr="00DE1573">
              <w:t>be considered a Chemical-Biological (</w:t>
            </w:r>
            <w:proofErr w:type="spellStart"/>
            <w:r w:rsidR="00B16AA7" w:rsidRPr="00DE1573">
              <w:t>Chem</w:t>
            </w:r>
            <w:proofErr w:type="spellEnd"/>
            <w:r w:rsidR="00B16AA7" w:rsidRPr="00DE1573">
              <w:t>-Bio) exposure claim and should be clarified with the claimant.</w:t>
            </w:r>
          </w:p>
        </w:tc>
      </w:tr>
    </w:tbl>
    <w:p w14:paraId="397E0E89" w14:textId="77777777" w:rsidR="00C25BDC" w:rsidRPr="00DE1573" w:rsidRDefault="00C25BDC" w:rsidP="00C25BDC">
      <w:pPr>
        <w:tabs>
          <w:tab w:val="left" w:pos="9360"/>
        </w:tabs>
        <w:ind w:left="1714"/>
      </w:pPr>
      <w:r w:rsidRPr="00DE1573">
        <w:rPr>
          <w:u w:val="single"/>
        </w:rPr>
        <w:lastRenderedPageBreak/>
        <w:tab/>
      </w:r>
    </w:p>
    <w:p w14:paraId="34007FC7" w14:textId="77777777" w:rsidR="00C25BDC" w:rsidRPr="00DE1573" w:rsidRDefault="00C25BDC" w:rsidP="00C25B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25BDC" w:rsidRPr="00DE1573" w14:paraId="1533BD3B" w14:textId="77777777" w:rsidTr="009A6BE8">
        <w:tc>
          <w:tcPr>
            <w:tcW w:w="1728" w:type="dxa"/>
            <w:shd w:val="clear" w:color="auto" w:fill="auto"/>
          </w:tcPr>
          <w:p w14:paraId="1232BF40" w14:textId="375824BA" w:rsidR="00C25BDC" w:rsidRPr="00DE1573" w:rsidRDefault="00C25BDC" w:rsidP="00C25BDC">
            <w:pPr>
              <w:rPr>
                <w:b/>
                <w:sz w:val="22"/>
              </w:rPr>
            </w:pPr>
            <w:r w:rsidRPr="00DE1573">
              <w:rPr>
                <w:b/>
                <w:sz w:val="22"/>
              </w:rPr>
              <w:t xml:space="preserve">c. </w:t>
            </w:r>
            <w:r w:rsidR="005E1929" w:rsidRPr="00DE1573">
              <w:rPr>
                <w:b/>
                <w:sz w:val="22"/>
              </w:rPr>
              <w:t xml:space="preserve"> </w:t>
            </w:r>
            <w:r w:rsidRPr="00DE1573">
              <w:rPr>
                <w:b/>
                <w:sz w:val="22"/>
              </w:rPr>
              <w:t>EP Control of SHAD Claims</w:t>
            </w:r>
          </w:p>
        </w:tc>
        <w:tc>
          <w:tcPr>
            <w:tcW w:w="7740" w:type="dxa"/>
            <w:shd w:val="clear" w:color="auto" w:fill="auto"/>
          </w:tcPr>
          <w:p w14:paraId="3FDFB871" w14:textId="5A2E6741" w:rsidR="00C25BDC" w:rsidRPr="00DE1573" w:rsidRDefault="00C25BDC" w:rsidP="00C25BDC">
            <w:r w:rsidRPr="00DE1573">
              <w:t>In addition to the traditional rating EP</w:t>
            </w:r>
            <w:r w:rsidR="004342A5" w:rsidRPr="00DE1573">
              <w:t>s</w:t>
            </w:r>
            <w:r w:rsidRPr="00DE1573">
              <w:t xml:space="preserve"> (</w:t>
            </w:r>
            <w:r w:rsidR="004342A5" w:rsidRPr="00DE1573">
              <w:t>for example</w:t>
            </w:r>
            <w:r w:rsidRPr="00DE1573">
              <w:t>, 010, 110, 020), establish an EP 683 to control SHAD claims for tracking purposes.</w:t>
            </w:r>
          </w:p>
          <w:p w14:paraId="04B397C1" w14:textId="77777777" w:rsidR="00C25BDC" w:rsidRPr="00DE1573" w:rsidRDefault="00C25BDC" w:rsidP="00C25BDC"/>
          <w:p w14:paraId="78D16C46" w14:textId="413C194E" w:rsidR="00C25BDC" w:rsidRPr="00DE1573" w:rsidRDefault="00C25BDC" w:rsidP="00C25BDC">
            <w:r w:rsidRPr="00DE1573">
              <w:rPr>
                <w:b/>
                <w:i/>
              </w:rPr>
              <w:t>Reference</w:t>
            </w:r>
            <w:r w:rsidRPr="00DE1573">
              <w:t>:</w:t>
            </w:r>
            <w:r w:rsidR="0077104E" w:rsidRPr="00DE1573">
              <w:t xml:space="preserve">  For more information on EP control, see</w:t>
            </w:r>
            <w:r w:rsidR="005E1929" w:rsidRPr="00DE1573">
              <w:t xml:space="preserve"> </w:t>
            </w:r>
            <w:r w:rsidRPr="00DE1573">
              <w:t xml:space="preserve">M21-4, Appendix B, </w:t>
            </w:r>
            <w:proofErr w:type="gramStart"/>
            <w:r w:rsidRPr="00DE1573">
              <w:t>Section</w:t>
            </w:r>
            <w:proofErr w:type="gramEnd"/>
            <w:r w:rsidRPr="00DE1573">
              <w:t xml:space="preserve"> II</w:t>
            </w:r>
            <w:r w:rsidR="0077104E" w:rsidRPr="00DE1573">
              <w:t>.</w:t>
            </w:r>
          </w:p>
        </w:tc>
      </w:tr>
    </w:tbl>
    <w:p w14:paraId="7CEF4763" w14:textId="77777777" w:rsidR="00C25BDC" w:rsidRPr="00DE1573" w:rsidRDefault="00C25BDC" w:rsidP="00C25BDC">
      <w:pPr>
        <w:tabs>
          <w:tab w:val="left" w:pos="9360"/>
        </w:tabs>
        <w:ind w:left="1714"/>
      </w:pPr>
      <w:r w:rsidRPr="00DE1573">
        <w:rPr>
          <w:u w:val="single"/>
        </w:rPr>
        <w:tab/>
      </w:r>
    </w:p>
    <w:p w14:paraId="0292A1B2" w14:textId="28B1DBD4" w:rsidR="00C25BDC" w:rsidRPr="00DE1573" w:rsidRDefault="00C25BDC" w:rsidP="003B7C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B7CDC" w:rsidRPr="00DE1573" w14:paraId="07E047D4" w14:textId="77777777" w:rsidTr="005B3DE8">
        <w:tc>
          <w:tcPr>
            <w:tcW w:w="1728" w:type="dxa"/>
            <w:shd w:val="clear" w:color="auto" w:fill="auto"/>
          </w:tcPr>
          <w:p w14:paraId="0BD7EC13" w14:textId="6F36AA4F" w:rsidR="003B7CDC" w:rsidRPr="00DE1573" w:rsidRDefault="003B7CDC" w:rsidP="00F67713">
            <w:pPr>
              <w:rPr>
                <w:b/>
                <w:sz w:val="22"/>
              </w:rPr>
            </w:pPr>
            <w:r w:rsidRPr="00DE1573">
              <w:rPr>
                <w:b/>
                <w:sz w:val="22"/>
              </w:rPr>
              <w:t>d.  Requesting Access to the</w:t>
            </w:r>
            <w:r w:rsidR="00377F02" w:rsidRPr="00DE1573">
              <w:rPr>
                <w:b/>
                <w:sz w:val="22"/>
              </w:rPr>
              <w:t xml:space="preserve"> U.S.</w:t>
            </w:r>
            <w:r w:rsidRPr="00DE1573">
              <w:rPr>
                <w:b/>
                <w:sz w:val="22"/>
              </w:rPr>
              <w:t xml:space="preserve"> D</w:t>
            </w:r>
            <w:r w:rsidR="00F67713" w:rsidRPr="00DE1573">
              <w:rPr>
                <w:b/>
                <w:sz w:val="22"/>
              </w:rPr>
              <w:t>o</w:t>
            </w:r>
            <w:r w:rsidRPr="00DE1573">
              <w:rPr>
                <w:b/>
                <w:sz w:val="22"/>
              </w:rPr>
              <w:t>D</w:t>
            </w:r>
            <w:r w:rsidR="00377F02" w:rsidRPr="00DE1573">
              <w:rPr>
                <w:b/>
                <w:sz w:val="22"/>
              </w:rPr>
              <w:t xml:space="preserve"> and VA </w:t>
            </w:r>
            <w:proofErr w:type="spellStart"/>
            <w:r w:rsidR="00377F02" w:rsidRPr="00DE1573">
              <w:rPr>
                <w:b/>
                <w:sz w:val="22"/>
              </w:rPr>
              <w:t>Chem</w:t>
            </w:r>
            <w:proofErr w:type="spellEnd"/>
            <w:r w:rsidR="00377F02" w:rsidRPr="00DE1573">
              <w:rPr>
                <w:b/>
                <w:sz w:val="22"/>
              </w:rPr>
              <w:t>-Bio Database</w:t>
            </w:r>
            <w:r w:rsidRPr="00DE1573">
              <w:rPr>
                <w:b/>
                <w:sz w:val="22"/>
              </w:rPr>
              <w:t xml:space="preserve"> </w:t>
            </w:r>
          </w:p>
        </w:tc>
        <w:tc>
          <w:tcPr>
            <w:tcW w:w="7740" w:type="dxa"/>
            <w:shd w:val="clear" w:color="auto" w:fill="auto"/>
          </w:tcPr>
          <w:p w14:paraId="270CA9E4" w14:textId="1A2189B2" w:rsidR="007F4FDF" w:rsidRPr="00DE1573" w:rsidRDefault="007F4FDF" w:rsidP="007F4FDF">
            <w:r w:rsidRPr="00DE1573">
              <w:t>The</w:t>
            </w:r>
            <w:r w:rsidR="00C94D7F" w:rsidRPr="00DE1573">
              <w:t xml:space="preserve"> U.S. DoD and VA Chemical Biological Warfare Exposure System (</w:t>
            </w:r>
            <w:proofErr w:type="spellStart"/>
            <w:r w:rsidR="00C94D7F" w:rsidRPr="00DE1573">
              <w:t>Chem</w:t>
            </w:r>
            <w:proofErr w:type="spellEnd"/>
            <w:r w:rsidR="00C94D7F" w:rsidRPr="00DE1573">
              <w:t xml:space="preserve">-Bio) </w:t>
            </w:r>
            <w:r w:rsidR="00B16AA7" w:rsidRPr="00DE1573">
              <w:t xml:space="preserve">is a consolidated database for mustard gas, Shipboard Hazard and Defense (SHAD), and </w:t>
            </w:r>
            <w:proofErr w:type="spellStart"/>
            <w:r w:rsidR="00B16AA7" w:rsidRPr="00DE1573">
              <w:t>Chem</w:t>
            </w:r>
            <w:proofErr w:type="spellEnd"/>
            <w:r w:rsidR="00B16AA7" w:rsidRPr="00DE1573">
              <w:t xml:space="preserve">-Bio participants.  </w:t>
            </w:r>
          </w:p>
          <w:p w14:paraId="37B9E38E" w14:textId="77777777" w:rsidR="007F4FDF" w:rsidRPr="00DE1573" w:rsidRDefault="007F4FDF" w:rsidP="003B7CDC"/>
          <w:p w14:paraId="13AC2B83" w14:textId="52C787B3" w:rsidR="00B16AA7" w:rsidRPr="00DE1573" w:rsidRDefault="007B2ED2" w:rsidP="003B7CDC">
            <w:r w:rsidRPr="00DE1573">
              <w:t xml:space="preserve">All ROs must maintain primary and </w:t>
            </w:r>
            <w:r w:rsidR="00B16AA7" w:rsidRPr="00DE1573">
              <w:t xml:space="preserve">alternate points of contact </w:t>
            </w:r>
            <w:proofErr w:type="gramStart"/>
            <w:r w:rsidR="00B16AA7" w:rsidRPr="00DE1573">
              <w:t>who</w:t>
            </w:r>
            <w:proofErr w:type="gramEnd"/>
            <w:r w:rsidRPr="00DE1573">
              <w:t xml:space="preserve"> are authorized access to DoD’s database.  These POCs are responsible for conducting preliminary research regarding claimed in-service chemical and biological agent testing-related exposures.  Access should be requested in advance of receipt of a claim based on exposure in order to ensure that claim</w:t>
            </w:r>
            <w:r w:rsidR="00C81D39" w:rsidRPr="00DE1573">
              <w:t>s</w:t>
            </w:r>
            <w:r w:rsidRPr="00DE1573">
              <w:t xml:space="preserve"> processing is not unnecessarily delayed.</w:t>
            </w:r>
          </w:p>
          <w:p w14:paraId="6332DBC9" w14:textId="77777777" w:rsidR="007F4FDF" w:rsidRPr="00DE1573" w:rsidRDefault="007F4FDF" w:rsidP="003B7CDC"/>
          <w:p w14:paraId="75884587" w14:textId="74894FCE" w:rsidR="007F4FDF" w:rsidRPr="00DE1573" w:rsidRDefault="007F4FDF" w:rsidP="003B7CDC">
            <w:r w:rsidRPr="00DE1573">
              <w:rPr>
                <w:b/>
                <w:i/>
              </w:rPr>
              <w:t>Important</w:t>
            </w:r>
            <w:r w:rsidRPr="00DE1573">
              <w:t xml:space="preserve">:  </w:t>
            </w:r>
            <w:r w:rsidR="00C94D7F" w:rsidRPr="00DE1573">
              <w:t xml:space="preserve">To request access to the </w:t>
            </w:r>
            <w:proofErr w:type="spellStart"/>
            <w:r w:rsidR="00C94D7F" w:rsidRPr="00DE1573">
              <w:t>Chem</w:t>
            </w:r>
            <w:proofErr w:type="spellEnd"/>
            <w:r w:rsidR="00C94D7F" w:rsidRPr="00DE1573">
              <w:t>-Bio</w:t>
            </w:r>
            <w:r w:rsidRPr="00DE1573">
              <w:t xml:space="preserve"> Database, send a completed </w:t>
            </w:r>
            <w:r w:rsidRPr="00DE1573">
              <w:rPr>
                <w:i/>
              </w:rPr>
              <w:t>DD Form 2875, System Authorization Access Request (SAAR)</w:t>
            </w:r>
            <w:r w:rsidR="00C81D39" w:rsidRPr="00DE1573">
              <w:t>,</w:t>
            </w:r>
            <w:r w:rsidR="00A1375A" w:rsidRPr="00DE1573">
              <w:t xml:space="preserve"> to the SHAD Mailbox at VAVBAWAS/CO/SHAD</w:t>
            </w:r>
            <w:r w:rsidRPr="00DE1573">
              <w:t>.</w:t>
            </w:r>
          </w:p>
        </w:tc>
      </w:tr>
    </w:tbl>
    <w:p w14:paraId="2504154C" w14:textId="510185CA" w:rsidR="003B7CDC" w:rsidRPr="00DE1573" w:rsidRDefault="003B7CDC" w:rsidP="003B7CDC">
      <w:pPr>
        <w:tabs>
          <w:tab w:val="left" w:pos="9360"/>
        </w:tabs>
        <w:ind w:left="1714"/>
      </w:pPr>
      <w:r w:rsidRPr="00DE1573">
        <w:rPr>
          <w:u w:val="single"/>
        </w:rPr>
        <w:tab/>
      </w:r>
    </w:p>
    <w:p w14:paraId="427674DE" w14:textId="556E445C" w:rsidR="003B7CDC" w:rsidRPr="00DE1573" w:rsidRDefault="003B7CDC" w:rsidP="003B7CDC">
      <w:pPr>
        <w:ind w:left="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25BDC" w:rsidRPr="00DE1573" w14:paraId="63834DB7" w14:textId="77777777" w:rsidTr="009A6BE8">
        <w:tc>
          <w:tcPr>
            <w:tcW w:w="1728" w:type="dxa"/>
            <w:shd w:val="clear" w:color="auto" w:fill="auto"/>
          </w:tcPr>
          <w:p w14:paraId="4E51DF63" w14:textId="39A3A65E" w:rsidR="00C25BDC" w:rsidRPr="00DE1573" w:rsidRDefault="00E365E3" w:rsidP="00C25BDC">
            <w:pPr>
              <w:rPr>
                <w:b/>
                <w:sz w:val="22"/>
              </w:rPr>
            </w:pPr>
            <w:r w:rsidRPr="00DE1573">
              <w:rPr>
                <w:b/>
                <w:sz w:val="22"/>
              </w:rPr>
              <w:t>e</w:t>
            </w:r>
            <w:r w:rsidR="00C25BDC" w:rsidRPr="00DE1573">
              <w:rPr>
                <w:b/>
                <w:sz w:val="22"/>
              </w:rPr>
              <w:t xml:space="preserve">. </w:t>
            </w:r>
            <w:r w:rsidR="005E1929" w:rsidRPr="00DE1573">
              <w:rPr>
                <w:b/>
                <w:sz w:val="22"/>
              </w:rPr>
              <w:t xml:space="preserve"> </w:t>
            </w:r>
            <w:r w:rsidR="00C25BDC" w:rsidRPr="00DE1573">
              <w:rPr>
                <w:b/>
                <w:sz w:val="22"/>
              </w:rPr>
              <w:t xml:space="preserve">Verification of Participation  and SHAD Manager Notification </w:t>
            </w:r>
          </w:p>
        </w:tc>
        <w:tc>
          <w:tcPr>
            <w:tcW w:w="7740" w:type="dxa"/>
            <w:shd w:val="clear" w:color="auto" w:fill="auto"/>
          </w:tcPr>
          <w:p w14:paraId="1FA6F7F6" w14:textId="02F1DB73" w:rsidR="00C25BDC" w:rsidRPr="00DE1573" w:rsidRDefault="007B2ED2" w:rsidP="009A6BE8">
            <w:r w:rsidRPr="00DE1573">
              <w:t>Follow the steps in the table below to verify the Veteran’s participation in Project SHAD at the RO-level based on review of the exposure database for the Veteran’s name.</w:t>
            </w:r>
          </w:p>
        </w:tc>
      </w:tr>
    </w:tbl>
    <w:p w14:paraId="79F1E8BB" w14:textId="5DB99856" w:rsidR="00C25BDC" w:rsidRPr="00DE1573" w:rsidRDefault="00C25BDC" w:rsidP="009A6BE8"/>
    <w:tbl>
      <w:tblPr>
        <w:tblStyle w:val="TableGrid"/>
        <w:tblW w:w="7650" w:type="dxa"/>
        <w:tblInd w:w="1818" w:type="dxa"/>
        <w:tblLook w:val="04A0" w:firstRow="1" w:lastRow="0" w:firstColumn="1" w:lastColumn="0" w:noHBand="0" w:noVBand="1"/>
      </w:tblPr>
      <w:tblGrid>
        <w:gridCol w:w="3870"/>
        <w:gridCol w:w="3780"/>
      </w:tblGrid>
      <w:tr w:rsidR="009A6BE8" w:rsidRPr="00DE1573" w14:paraId="3B869987" w14:textId="77777777" w:rsidTr="009A6BE8">
        <w:tc>
          <w:tcPr>
            <w:tcW w:w="3870" w:type="dxa"/>
          </w:tcPr>
          <w:p w14:paraId="2B478849" w14:textId="6121D466" w:rsidR="009A6BE8" w:rsidRPr="00DE1573" w:rsidRDefault="009A6BE8" w:rsidP="00321A50">
            <w:pPr>
              <w:rPr>
                <w:b/>
              </w:rPr>
            </w:pPr>
            <w:r w:rsidRPr="00DE1573">
              <w:rPr>
                <w:b/>
              </w:rPr>
              <w:t>If …</w:t>
            </w:r>
          </w:p>
        </w:tc>
        <w:tc>
          <w:tcPr>
            <w:tcW w:w="3780" w:type="dxa"/>
          </w:tcPr>
          <w:p w14:paraId="72442684" w14:textId="77777777" w:rsidR="009A6BE8" w:rsidRPr="00DE1573" w:rsidRDefault="009A6BE8" w:rsidP="00321A50">
            <w:pPr>
              <w:rPr>
                <w:b/>
              </w:rPr>
            </w:pPr>
            <w:r w:rsidRPr="00DE1573">
              <w:rPr>
                <w:b/>
              </w:rPr>
              <w:t>Then</w:t>
            </w:r>
            <w:r w:rsidRPr="00DE1573">
              <w:t xml:space="preserve"> </w:t>
            </w:r>
            <w:r w:rsidRPr="00DE1573">
              <w:rPr>
                <w:b/>
              </w:rPr>
              <w:t>...</w:t>
            </w:r>
          </w:p>
        </w:tc>
      </w:tr>
      <w:tr w:rsidR="009A6BE8" w:rsidRPr="00DE1573" w14:paraId="5C7F8381" w14:textId="77777777" w:rsidTr="009A6BE8">
        <w:tc>
          <w:tcPr>
            <w:tcW w:w="3870" w:type="dxa"/>
          </w:tcPr>
          <w:p w14:paraId="35BCA862" w14:textId="4CDAE10F" w:rsidR="009A6BE8" w:rsidRPr="00DE1573" w:rsidRDefault="009A6BE8" w:rsidP="00321A50">
            <w:r w:rsidRPr="00DE1573">
              <w:t xml:space="preserve">the Veteran’s name appears in the </w:t>
            </w:r>
            <w:proofErr w:type="spellStart"/>
            <w:r w:rsidRPr="00DE1573">
              <w:t>Chem</w:t>
            </w:r>
            <w:proofErr w:type="spellEnd"/>
            <w:r w:rsidRPr="00DE1573">
              <w:t>-Bio Database</w:t>
            </w:r>
          </w:p>
        </w:tc>
        <w:tc>
          <w:tcPr>
            <w:tcW w:w="3780" w:type="dxa"/>
          </w:tcPr>
          <w:p w14:paraId="2194975D" w14:textId="77777777" w:rsidR="009A6BE8" w:rsidRPr="00DE1573" w:rsidRDefault="009A6BE8" w:rsidP="00321A50">
            <w:proofErr w:type="gramStart"/>
            <w:r w:rsidRPr="00DE1573">
              <w:t>determine</w:t>
            </w:r>
            <w:proofErr w:type="gramEnd"/>
            <w:r w:rsidRPr="00DE1573">
              <w:t xml:space="preserve"> whether an examination and/or medical opinion is/are required to decide the claim. </w:t>
            </w:r>
          </w:p>
        </w:tc>
      </w:tr>
      <w:tr w:rsidR="009A6BE8" w:rsidRPr="00DE1573" w14:paraId="7A950365" w14:textId="77777777" w:rsidTr="009A6BE8">
        <w:tc>
          <w:tcPr>
            <w:tcW w:w="3870" w:type="dxa"/>
          </w:tcPr>
          <w:p w14:paraId="22E4D8F6" w14:textId="03F8D851" w:rsidR="009A6BE8" w:rsidRPr="00DE1573" w:rsidRDefault="009A6BE8" w:rsidP="00321A50">
            <w:r w:rsidRPr="00DE1573">
              <w:t xml:space="preserve">the Veteran’s name does </w:t>
            </w:r>
            <w:r w:rsidRPr="00DE1573">
              <w:rPr>
                <w:i/>
              </w:rPr>
              <w:t>not</w:t>
            </w:r>
            <w:r w:rsidRPr="00DE1573">
              <w:t xml:space="preserve"> appear in the </w:t>
            </w:r>
            <w:proofErr w:type="spellStart"/>
            <w:r w:rsidRPr="00DE1573">
              <w:t>Chem</w:t>
            </w:r>
            <w:proofErr w:type="spellEnd"/>
            <w:r w:rsidRPr="00DE1573">
              <w:t>-Bio Database</w:t>
            </w:r>
          </w:p>
        </w:tc>
        <w:tc>
          <w:tcPr>
            <w:tcW w:w="3780" w:type="dxa"/>
          </w:tcPr>
          <w:p w14:paraId="40641AD3" w14:textId="77777777" w:rsidR="009A6BE8" w:rsidRPr="00DE1573" w:rsidRDefault="009A6BE8" w:rsidP="00321A50">
            <w:proofErr w:type="gramStart"/>
            <w:r w:rsidRPr="00DE1573">
              <w:t>it</w:t>
            </w:r>
            <w:proofErr w:type="gramEnd"/>
            <w:r w:rsidRPr="00DE1573">
              <w:t xml:space="preserve"> will be necessary to request a thorough search by DoD.  To do so, a memorandum  must be prepared with the following information </w:t>
            </w:r>
          </w:p>
          <w:p w14:paraId="5B65F91A" w14:textId="77777777" w:rsidR="009A6BE8" w:rsidRPr="00DE1573" w:rsidRDefault="009A6BE8" w:rsidP="00321A50"/>
          <w:p w14:paraId="72123C39" w14:textId="77777777" w:rsidR="009A6BE8" w:rsidRPr="00DE1573" w:rsidRDefault="009A6BE8" w:rsidP="0061795F">
            <w:pPr>
              <w:pStyle w:val="ListParagraph"/>
              <w:numPr>
                <w:ilvl w:val="0"/>
                <w:numId w:val="37"/>
              </w:numPr>
              <w:ind w:left="158" w:hanging="187"/>
            </w:pPr>
            <w:r w:rsidRPr="00DE1573">
              <w:t>the name of the individual requesting verification</w:t>
            </w:r>
          </w:p>
          <w:p w14:paraId="409D587C" w14:textId="77777777" w:rsidR="009A6BE8" w:rsidRPr="00DE1573" w:rsidRDefault="009A6BE8" w:rsidP="0061795F">
            <w:pPr>
              <w:pStyle w:val="ListParagraph"/>
              <w:numPr>
                <w:ilvl w:val="0"/>
                <w:numId w:val="37"/>
              </w:numPr>
              <w:ind w:left="158" w:hanging="187"/>
            </w:pPr>
            <w:r w:rsidRPr="00DE1573">
              <w:t>the Veteran’s full name, claims folder number, Social Security number (SSN), and service number, and</w:t>
            </w:r>
          </w:p>
          <w:p w14:paraId="6F585799" w14:textId="77777777" w:rsidR="009A6BE8" w:rsidRPr="00DE1573" w:rsidRDefault="009A6BE8" w:rsidP="0061795F">
            <w:pPr>
              <w:pStyle w:val="ListParagraph"/>
              <w:numPr>
                <w:ilvl w:val="0"/>
                <w:numId w:val="37"/>
              </w:numPr>
              <w:ind w:left="158" w:hanging="187"/>
            </w:pPr>
            <w:proofErr w:type="gramStart"/>
            <w:r w:rsidRPr="00DE1573">
              <w:t>the</w:t>
            </w:r>
            <w:proofErr w:type="gramEnd"/>
            <w:r w:rsidRPr="00DE1573">
              <w:t xml:space="preserve"> nature of the disabilities being claimed.</w:t>
            </w:r>
          </w:p>
          <w:p w14:paraId="2B257E85" w14:textId="77777777" w:rsidR="009A6BE8" w:rsidRPr="00DE1573" w:rsidRDefault="009A6BE8" w:rsidP="00321A50"/>
          <w:p w14:paraId="58738A68" w14:textId="77777777" w:rsidR="009A6BE8" w:rsidRPr="00DE1573" w:rsidRDefault="009A6BE8" w:rsidP="00321A50">
            <w:r w:rsidRPr="00DE1573">
              <w:t>If available, also provide the</w:t>
            </w:r>
          </w:p>
          <w:p w14:paraId="6391ACAB" w14:textId="77777777" w:rsidR="009A6BE8" w:rsidRPr="00DE1573" w:rsidRDefault="009A6BE8" w:rsidP="00321A50"/>
          <w:p w14:paraId="669A03BF" w14:textId="77777777" w:rsidR="009A6BE8" w:rsidRPr="00DE1573" w:rsidRDefault="009A6BE8" w:rsidP="0061795F">
            <w:pPr>
              <w:pStyle w:val="ListParagraph"/>
              <w:numPr>
                <w:ilvl w:val="0"/>
                <w:numId w:val="38"/>
              </w:numPr>
              <w:ind w:left="158" w:hanging="187"/>
            </w:pPr>
            <w:r w:rsidRPr="00DE1573">
              <w:t>name of the test</w:t>
            </w:r>
          </w:p>
          <w:p w14:paraId="3D8E983E" w14:textId="77777777" w:rsidR="009A6BE8" w:rsidRPr="00DE1573" w:rsidRDefault="009A6BE8" w:rsidP="0061795F">
            <w:pPr>
              <w:pStyle w:val="ListParagraph"/>
              <w:numPr>
                <w:ilvl w:val="0"/>
                <w:numId w:val="38"/>
              </w:numPr>
              <w:ind w:left="158" w:hanging="187"/>
            </w:pPr>
            <w:r w:rsidRPr="00DE1573">
              <w:t>name of the ship(s)</w:t>
            </w:r>
          </w:p>
          <w:p w14:paraId="227364E8" w14:textId="77777777" w:rsidR="009A6BE8" w:rsidRPr="00DE1573" w:rsidRDefault="009A6BE8" w:rsidP="0061795F">
            <w:pPr>
              <w:pStyle w:val="ListParagraph"/>
              <w:numPr>
                <w:ilvl w:val="0"/>
                <w:numId w:val="38"/>
              </w:numPr>
              <w:ind w:left="158" w:hanging="187"/>
            </w:pPr>
            <w:r w:rsidRPr="00DE1573">
              <w:t>location, and</w:t>
            </w:r>
          </w:p>
          <w:p w14:paraId="3FF2DEB7" w14:textId="77777777" w:rsidR="009A6BE8" w:rsidRPr="00DE1573" w:rsidRDefault="009A6BE8" w:rsidP="0061795F">
            <w:pPr>
              <w:pStyle w:val="ListParagraph"/>
              <w:numPr>
                <w:ilvl w:val="0"/>
                <w:numId w:val="38"/>
              </w:numPr>
              <w:ind w:left="158" w:hanging="187"/>
            </w:pPr>
            <w:proofErr w:type="gramStart"/>
            <w:r w:rsidRPr="00DE1573">
              <w:t>dates</w:t>
            </w:r>
            <w:proofErr w:type="gramEnd"/>
            <w:r w:rsidRPr="00DE1573">
              <w:t xml:space="preserve"> of exposure.</w:t>
            </w:r>
          </w:p>
          <w:p w14:paraId="6356E26D" w14:textId="77777777" w:rsidR="009A6BE8" w:rsidRPr="00DE1573" w:rsidRDefault="009A6BE8" w:rsidP="00321A50"/>
          <w:p w14:paraId="17396889" w14:textId="77777777" w:rsidR="009A6BE8" w:rsidRPr="00DE1573" w:rsidRDefault="009A6BE8" w:rsidP="00321A50">
            <w:r w:rsidRPr="00DE1573">
              <w:rPr>
                <w:b/>
                <w:i/>
              </w:rPr>
              <w:t>Important</w:t>
            </w:r>
            <w:r w:rsidRPr="00DE1573">
              <w:t xml:space="preserve">:  Ensure that copies of personnel records accompany the request.  </w:t>
            </w:r>
          </w:p>
          <w:p w14:paraId="106C09B1" w14:textId="77777777" w:rsidR="009A6BE8" w:rsidRPr="00DE1573" w:rsidRDefault="009A6BE8" w:rsidP="00321A50"/>
          <w:p w14:paraId="1BBC8E70" w14:textId="77777777" w:rsidR="009A6BE8" w:rsidRPr="00DE1573" w:rsidRDefault="009A6BE8" w:rsidP="00321A50">
            <w:r w:rsidRPr="00DE1573">
              <w:t xml:space="preserve">The records and memo should be </w:t>
            </w:r>
            <w:r w:rsidRPr="00DE1573">
              <w:rPr>
                <w:b/>
              </w:rPr>
              <w:t xml:space="preserve">mailed </w:t>
            </w:r>
            <w:r w:rsidRPr="00DE1573">
              <w:t>to</w:t>
            </w:r>
          </w:p>
          <w:p w14:paraId="2BB12EF0" w14:textId="77777777" w:rsidR="009A6BE8" w:rsidRPr="00DE1573" w:rsidRDefault="009A6BE8" w:rsidP="00321A50"/>
          <w:p w14:paraId="47627545" w14:textId="77777777" w:rsidR="009A6BE8" w:rsidRPr="00DE1573" w:rsidRDefault="009A6BE8" w:rsidP="00321A50">
            <w:pPr>
              <w:autoSpaceDE w:val="0"/>
              <w:autoSpaceDN w:val="0"/>
            </w:pPr>
            <w:r w:rsidRPr="00DE1573">
              <w:t>Department of Veterans Affairs</w:t>
            </w:r>
          </w:p>
          <w:p w14:paraId="2739A7DE" w14:textId="77777777" w:rsidR="009A6BE8" w:rsidRPr="00DE1573" w:rsidRDefault="009A6BE8" w:rsidP="00321A50">
            <w:pPr>
              <w:autoSpaceDE w:val="0"/>
              <w:autoSpaceDN w:val="0"/>
            </w:pPr>
            <w:r w:rsidRPr="00DE1573">
              <w:t>Compensation Service</w:t>
            </w:r>
          </w:p>
          <w:p w14:paraId="69E9B448" w14:textId="77777777" w:rsidR="009A6BE8" w:rsidRPr="00DE1573" w:rsidRDefault="009A6BE8" w:rsidP="00321A50">
            <w:pPr>
              <w:autoSpaceDE w:val="0"/>
              <w:autoSpaceDN w:val="0"/>
            </w:pPr>
            <w:r w:rsidRPr="00DE1573">
              <w:t>ATTN: SHAD Manager</w:t>
            </w:r>
          </w:p>
          <w:p w14:paraId="45B616AE" w14:textId="77777777" w:rsidR="009A6BE8" w:rsidRPr="00DE1573" w:rsidRDefault="009A6BE8" w:rsidP="00321A50">
            <w:pPr>
              <w:autoSpaceDE w:val="0"/>
              <w:autoSpaceDN w:val="0"/>
            </w:pPr>
            <w:r w:rsidRPr="00DE1573">
              <w:t xml:space="preserve">810 Vermont Ave, NW </w:t>
            </w:r>
          </w:p>
          <w:p w14:paraId="55D229A8" w14:textId="117440A9" w:rsidR="009A6BE8" w:rsidRPr="00DE1573" w:rsidRDefault="009A6BE8" w:rsidP="00321A50">
            <w:r w:rsidRPr="00DE1573">
              <w:t>Washington, DC  20420</w:t>
            </w:r>
          </w:p>
        </w:tc>
      </w:tr>
      <w:tr w:rsidR="009A6BE8" w:rsidRPr="00DE1573" w14:paraId="7BC36E9F" w14:textId="77777777" w:rsidTr="009A6BE8">
        <w:tc>
          <w:tcPr>
            <w:tcW w:w="3870" w:type="dxa"/>
          </w:tcPr>
          <w:p w14:paraId="41B03313" w14:textId="77777777" w:rsidR="009A6BE8" w:rsidRPr="00DE1573" w:rsidRDefault="009A6BE8" w:rsidP="00321A50">
            <w:r w:rsidRPr="00DE1573">
              <w:lastRenderedPageBreak/>
              <w:t>DoD response confirms exposure</w:t>
            </w:r>
          </w:p>
        </w:tc>
        <w:tc>
          <w:tcPr>
            <w:tcW w:w="3780" w:type="dxa"/>
          </w:tcPr>
          <w:p w14:paraId="1FA443A2" w14:textId="77777777" w:rsidR="009A6BE8" w:rsidRPr="00DE1573" w:rsidRDefault="009A6BE8" w:rsidP="00321A50">
            <w:proofErr w:type="gramStart"/>
            <w:r w:rsidRPr="00DE1573">
              <w:t>determine</w:t>
            </w:r>
            <w:proofErr w:type="gramEnd"/>
            <w:r w:rsidRPr="00DE1573">
              <w:t xml:space="preserve"> whether an examination and/or medical opinion is/are required to decide the claim.  No further action necessary.</w:t>
            </w:r>
          </w:p>
        </w:tc>
      </w:tr>
      <w:tr w:rsidR="009A6BE8" w:rsidRPr="00DE1573" w14:paraId="5A54D164" w14:textId="77777777" w:rsidTr="009A6BE8">
        <w:tc>
          <w:tcPr>
            <w:tcW w:w="3870" w:type="dxa"/>
          </w:tcPr>
          <w:p w14:paraId="1377C2A0" w14:textId="77777777" w:rsidR="009A6BE8" w:rsidRPr="00DE1573" w:rsidRDefault="009A6BE8" w:rsidP="00321A50">
            <w:r w:rsidRPr="00DE1573">
              <w:t>DoD response does not confirm exposure</w:t>
            </w:r>
          </w:p>
        </w:tc>
        <w:tc>
          <w:tcPr>
            <w:tcW w:w="3780" w:type="dxa"/>
          </w:tcPr>
          <w:p w14:paraId="74722726" w14:textId="33E1528F" w:rsidR="009A6BE8" w:rsidRPr="00DE1573" w:rsidRDefault="009A6BE8" w:rsidP="00321A50">
            <w:proofErr w:type="gramStart"/>
            <w:r w:rsidRPr="00DE1573">
              <w:t>proceed</w:t>
            </w:r>
            <w:proofErr w:type="gramEnd"/>
            <w:r w:rsidRPr="00DE1573">
              <w:t xml:space="preserve"> with denial of disabilities claimed as resulting from SHAD exposure.</w:t>
            </w:r>
          </w:p>
        </w:tc>
      </w:tr>
    </w:tbl>
    <w:p w14:paraId="3415F8AE" w14:textId="3EB6F087" w:rsidR="009A6BE8" w:rsidRPr="00DE1573" w:rsidRDefault="009A6BE8" w:rsidP="009A6BE8"/>
    <w:tbl>
      <w:tblPr>
        <w:tblStyle w:val="TableGrid"/>
        <w:tblW w:w="7740"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9A6BE8" w:rsidRPr="00DE1573" w14:paraId="559F7437" w14:textId="77777777" w:rsidTr="009A6BE8">
        <w:tc>
          <w:tcPr>
            <w:tcW w:w="7740" w:type="dxa"/>
            <w:shd w:val="clear" w:color="auto" w:fill="auto"/>
          </w:tcPr>
          <w:p w14:paraId="0CC5F148" w14:textId="14B39105" w:rsidR="009A6BE8" w:rsidRPr="00DE1573" w:rsidRDefault="009A6BE8" w:rsidP="009A6BE8">
            <w:pPr>
              <w:rPr>
                <w:color w:val="auto"/>
              </w:rPr>
            </w:pPr>
            <w:r w:rsidRPr="00DE1573">
              <w:rPr>
                <w:b/>
                <w:i/>
                <w:color w:val="auto"/>
              </w:rPr>
              <w:t>Reference</w:t>
            </w:r>
            <w:r w:rsidRPr="00DE1573">
              <w:rPr>
                <w:color w:val="auto"/>
              </w:rPr>
              <w:t>:</w:t>
            </w:r>
            <w:r w:rsidRPr="00DE1573">
              <w:t xml:space="preserve">  For more information on Project 112/Project SHAD, see</w:t>
            </w:r>
          </w:p>
          <w:p w14:paraId="20C5FF65" w14:textId="77777777" w:rsidR="009A6BE8" w:rsidRPr="00DE1573" w:rsidRDefault="00D872BE" w:rsidP="009A6BE8">
            <w:pPr>
              <w:pStyle w:val="ListParagraph"/>
              <w:numPr>
                <w:ilvl w:val="0"/>
                <w:numId w:val="8"/>
              </w:numPr>
              <w:ind w:left="158" w:hanging="187"/>
              <w:rPr>
                <w:color w:val="0000FF"/>
              </w:rPr>
            </w:pPr>
            <w:hyperlink r:id="rId32" w:history="1">
              <w:r w:rsidR="009A6BE8" w:rsidRPr="00DE1573">
                <w:rPr>
                  <w:rStyle w:val="Hyperlink"/>
                </w:rPr>
                <w:t>Project 112/Project SHAD: Resources and Materials</w:t>
              </w:r>
            </w:hyperlink>
          </w:p>
          <w:p w14:paraId="66E38DEC" w14:textId="756FD3CF" w:rsidR="009A6BE8" w:rsidRPr="00DE1573" w:rsidRDefault="00D872BE" w:rsidP="009A6BE8">
            <w:pPr>
              <w:pStyle w:val="ListParagraph"/>
              <w:numPr>
                <w:ilvl w:val="0"/>
                <w:numId w:val="8"/>
              </w:numPr>
              <w:ind w:left="158" w:hanging="187"/>
              <w:rPr>
                <w:color w:val="0000FF"/>
              </w:rPr>
            </w:pPr>
            <w:hyperlink r:id="rId33" w:history="1">
              <w:r w:rsidR="001544BA" w:rsidRPr="00DE1573">
                <w:rPr>
                  <w:rStyle w:val="Hyperlink"/>
                </w:rPr>
                <w:t>Project 122/SHAD Reports – Shipboard Hazard Defense</w:t>
              </w:r>
            </w:hyperlink>
            <w:r w:rsidR="009A6BE8" w:rsidRPr="00DE1573">
              <w:t>, and</w:t>
            </w:r>
          </w:p>
          <w:p w14:paraId="712FE635" w14:textId="42C87478" w:rsidR="009A6BE8" w:rsidRPr="00DE1573" w:rsidRDefault="00D872BE" w:rsidP="0061795F">
            <w:pPr>
              <w:pStyle w:val="ListParagraph"/>
              <w:numPr>
                <w:ilvl w:val="0"/>
                <w:numId w:val="40"/>
              </w:numPr>
              <w:ind w:left="158" w:hanging="187"/>
            </w:pPr>
            <w:hyperlink r:id="rId34" w:history="1">
              <w:r w:rsidR="009A6BE8" w:rsidRPr="00DE1573">
                <w:rPr>
                  <w:rStyle w:val="Hyperlink"/>
                </w:rPr>
                <w:t>VHA Directive 2009-047</w:t>
              </w:r>
            </w:hyperlink>
            <w:r w:rsidR="009A6BE8" w:rsidRPr="00DE1573">
              <w:t xml:space="preserve">. </w:t>
            </w:r>
          </w:p>
        </w:tc>
      </w:tr>
    </w:tbl>
    <w:p w14:paraId="0B3644F6" w14:textId="76018F11" w:rsidR="009A6BE8" w:rsidRPr="00DE1573" w:rsidRDefault="009A6BE8" w:rsidP="009A6BE8">
      <w:pPr>
        <w:tabs>
          <w:tab w:val="left" w:pos="9360"/>
        </w:tabs>
        <w:ind w:left="1714"/>
      </w:pPr>
      <w:r w:rsidRPr="00DE1573">
        <w:rPr>
          <w:u w:val="single"/>
        </w:rPr>
        <w:tab/>
      </w:r>
    </w:p>
    <w:p w14:paraId="0FC30A91" w14:textId="77777777" w:rsidR="009A6BE8" w:rsidRPr="00DE1573" w:rsidRDefault="009A6BE8" w:rsidP="009A6B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25BDC" w:rsidRPr="00DE1573" w14:paraId="239F3D66" w14:textId="77777777" w:rsidTr="009A6BE8">
        <w:tc>
          <w:tcPr>
            <w:tcW w:w="1728" w:type="dxa"/>
            <w:shd w:val="clear" w:color="auto" w:fill="auto"/>
          </w:tcPr>
          <w:p w14:paraId="2BDD8373" w14:textId="3BE22A6D" w:rsidR="00C25BDC" w:rsidRPr="00DE1573" w:rsidRDefault="002070BB" w:rsidP="00785445">
            <w:pPr>
              <w:rPr>
                <w:b/>
                <w:sz w:val="22"/>
              </w:rPr>
            </w:pPr>
            <w:r w:rsidRPr="00DE1573">
              <w:rPr>
                <w:b/>
                <w:sz w:val="22"/>
              </w:rPr>
              <w:t>f</w:t>
            </w:r>
            <w:r w:rsidR="00C25BDC" w:rsidRPr="00DE1573">
              <w:rPr>
                <w:b/>
                <w:sz w:val="22"/>
              </w:rPr>
              <w:t xml:space="preserve">. </w:t>
            </w:r>
            <w:r w:rsidR="005E1929" w:rsidRPr="00DE1573">
              <w:rPr>
                <w:b/>
                <w:sz w:val="22"/>
              </w:rPr>
              <w:t xml:space="preserve"> </w:t>
            </w:r>
            <w:r w:rsidR="00A25B9D" w:rsidRPr="00DE1573">
              <w:rPr>
                <w:b/>
                <w:sz w:val="22"/>
              </w:rPr>
              <w:t xml:space="preserve">Action to Take Upon Receipt of </w:t>
            </w:r>
            <w:r w:rsidR="00C25BDC" w:rsidRPr="00DE1573">
              <w:rPr>
                <w:b/>
                <w:sz w:val="22"/>
              </w:rPr>
              <w:t>Final Negative Response</w:t>
            </w:r>
            <w:r w:rsidR="00A25B9D" w:rsidRPr="00DE1573">
              <w:rPr>
                <w:b/>
                <w:sz w:val="22"/>
              </w:rPr>
              <w:t xml:space="preserve"> From D</w:t>
            </w:r>
            <w:r w:rsidR="00785445" w:rsidRPr="00DE1573">
              <w:rPr>
                <w:b/>
                <w:sz w:val="22"/>
              </w:rPr>
              <w:t>o</w:t>
            </w:r>
            <w:r w:rsidR="00A25B9D" w:rsidRPr="00DE1573">
              <w:rPr>
                <w:b/>
                <w:sz w:val="22"/>
              </w:rPr>
              <w:t>D</w:t>
            </w:r>
            <w:r w:rsidR="00C63C90" w:rsidRPr="00DE1573">
              <w:rPr>
                <w:b/>
                <w:sz w:val="22"/>
              </w:rPr>
              <w:t xml:space="preserve"> </w:t>
            </w:r>
            <w:r w:rsidR="00C25BDC" w:rsidRPr="00DE1573">
              <w:rPr>
                <w:b/>
                <w:sz w:val="22"/>
              </w:rPr>
              <w:t>Regarding SHAD Participation</w:t>
            </w:r>
          </w:p>
        </w:tc>
        <w:tc>
          <w:tcPr>
            <w:tcW w:w="7740" w:type="dxa"/>
            <w:shd w:val="clear" w:color="auto" w:fill="auto"/>
          </w:tcPr>
          <w:p w14:paraId="6C08AB44" w14:textId="55B369BF" w:rsidR="00C25BDC" w:rsidRPr="00DE1573" w:rsidRDefault="00434444" w:rsidP="00C25BDC">
            <w:r w:rsidRPr="00DE1573">
              <w:t>Follow the steps in the table below to determine what action to</w:t>
            </w:r>
            <w:r w:rsidR="00C25BDC" w:rsidRPr="00DE1573">
              <w:t xml:space="preserve"> take when a final negative response is received from DoD regarding the claimant’s participation in</w:t>
            </w:r>
            <w:r w:rsidR="00C20103" w:rsidRPr="00DE1573">
              <w:t xml:space="preserve"> Project</w:t>
            </w:r>
            <w:r w:rsidR="00C25BDC" w:rsidRPr="00DE1573">
              <w:t xml:space="preserve"> SHAD.</w:t>
            </w:r>
          </w:p>
        </w:tc>
      </w:tr>
    </w:tbl>
    <w:p w14:paraId="2F0348E6" w14:textId="77777777" w:rsidR="00C25BDC" w:rsidRPr="00DE1573" w:rsidRDefault="00C25BDC" w:rsidP="00C25BDC"/>
    <w:tbl>
      <w:tblPr>
        <w:tblStyle w:val="TableGrid"/>
        <w:tblW w:w="76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570"/>
      </w:tblGrid>
      <w:tr w:rsidR="00C25BDC" w:rsidRPr="00DE1573" w14:paraId="1A5B16F7" w14:textId="77777777" w:rsidTr="009A6BE8">
        <w:tc>
          <w:tcPr>
            <w:tcW w:w="1080" w:type="dxa"/>
          </w:tcPr>
          <w:p w14:paraId="2C10670A" w14:textId="77777777" w:rsidR="00C25BDC" w:rsidRPr="00DE1573" w:rsidRDefault="00C25BDC" w:rsidP="00C25BDC">
            <w:pPr>
              <w:jc w:val="center"/>
              <w:rPr>
                <w:b/>
              </w:rPr>
            </w:pPr>
            <w:r w:rsidRPr="00DE1573">
              <w:rPr>
                <w:b/>
              </w:rPr>
              <w:t>Step</w:t>
            </w:r>
          </w:p>
        </w:tc>
        <w:tc>
          <w:tcPr>
            <w:tcW w:w="6570" w:type="dxa"/>
          </w:tcPr>
          <w:p w14:paraId="0C4DA90D" w14:textId="77777777" w:rsidR="00C25BDC" w:rsidRPr="00DE1573" w:rsidRDefault="00C25BDC" w:rsidP="00C25BDC">
            <w:pPr>
              <w:jc w:val="center"/>
              <w:rPr>
                <w:b/>
              </w:rPr>
            </w:pPr>
            <w:r w:rsidRPr="00DE1573">
              <w:rPr>
                <w:b/>
              </w:rPr>
              <w:t>Action</w:t>
            </w:r>
          </w:p>
        </w:tc>
      </w:tr>
      <w:tr w:rsidR="00C25BDC" w:rsidRPr="00DE1573" w14:paraId="1F8A7B6F" w14:textId="77777777" w:rsidTr="009A6BE8">
        <w:tc>
          <w:tcPr>
            <w:tcW w:w="1080" w:type="dxa"/>
          </w:tcPr>
          <w:p w14:paraId="338CC0E5" w14:textId="77777777" w:rsidR="00C25BDC" w:rsidRPr="00DE1573" w:rsidRDefault="00C25BDC" w:rsidP="00C25BDC">
            <w:pPr>
              <w:jc w:val="center"/>
            </w:pPr>
            <w:r w:rsidRPr="00DE1573">
              <w:t>1</w:t>
            </w:r>
          </w:p>
        </w:tc>
        <w:tc>
          <w:tcPr>
            <w:tcW w:w="6570" w:type="dxa"/>
          </w:tcPr>
          <w:p w14:paraId="39D0EFC0" w14:textId="0D19EA56" w:rsidR="00C25BDC" w:rsidRPr="00DE1573" w:rsidRDefault="00C25BDC" w:rsidP="00C25BDC">
            <w:r w:rsidRPr="00DE1573">
              <w:t xml:space="preserve">Upload a copy of the negative response received from the SHAD Manager to the claimant’s </w:t>
            </w:r>
            <w:r w:rsidR="00AD64CE" w:rsidRPr="00DE1573">
              <w:t>electronic claims folder (</w:t>
            </w:r>
            <w:r w:rsidRPr="00DE1573">
              <w:t>eFolder</w:t>
            </w:r>
            <w:r w:rsidR="00AD64CE" w:rsidRPr="00DE1573">
              <w:t>)</w:t>
            </w:r>
            <w:r w:rsidRPr="00DE1573">
              <w:t>.</w:t>
            </w:r>
          </w:p>
        </w:tc>
      </w:tr>
      <w:tr w:rsidR="00C25BDC" w:rsidRPr="00DE1573" w14:paraId="2909687A" w14:textId="77777777" w:rsidTr="009A6BE8">
        <w:tc>
          <w:tcPr>
            <w:tcW w:w="1080" w:type="dxa"/>
          </w:tcPr>
          <w:p w14:paraId="1EAE0D45" w14:textId="77777777" w:rsidR="00C25BDC" w:rsidRPr="00DE1573" w:rsidRDefault="00C25BDC" w:rsidP="00C25BDC">
            <w:pPr>
              <w:jc w:val="center"/>
            </w:pPr>
            <w:r w:rsidRPr="00DE1573">
              <w:t>2</w:t>
            </w:r>
          </w:p>
        </w:tc>
        <w:tc>
          <w:tcPr>
            <w:tcW w:w="6570" w:type="dxa"/>
          </w:tcPr>
          <w:p w14:paraId="163FCF89" w14:textId="77777777" w:rsidR="00C25BDC" w:rsidRPr="00DE1573" w:rsidRDefault="00C25BDC" w:rsidP="00C25BDC">
            <w:r w:rsidRPr="00DE1573">
              <w:t>Cancel the EP 683</w:t>
            </w:r>
          </w:p>
        </w:tc>
      </w:tr>
      <w:tr w:rsidR="00C25BDC" w:rsidRPr="00DE1573" w14:paraId="55767B37" w14:textId="77777777" w:rsidTr="009A6BE8">
        <w:tc>
          <w:tcPr>
            <w:tcW w:w="1080" w:type="dxa"/>
          </w:tcPr>
          <w:p w14:paraId="68F9E284" w14:textId="77777777" w:rsidR="00C25BDC" w:rsidRPr="00DE1573" w:rsidRDefault="00C25BDC" w:rsidP="00C25BDC">
            <w:pPr>
              <w:jc w:val="center"/>
            </w:pPr>
            <w:r w:rsidRPr="00DE1573">
              <w:t>3</w:t>
            </w:r>
          </w:p>
        </w:tc>
        <w:tc>
          <w:tcPr>
            <w:tcW w:w="6570" w:type="dxa"/>
          </w:tcPr>
          <w:p w14:paraId="5573C5C2" w14:textId="33DF32AA" w:rsidR="00C25BDC" w:rsidRPr="00DE1573" w:rsidRDefault="002070BB" w:rsidP="00C25BDC">
            <w:pPr>
              <w:rPr>
                <w:b/>
                <w:i/>
              </w:rPr>
            </w:pPr>
            <w:r w:rsidRPr="00DE1573">
              <w:t>Deny the claim in accordance with M21-1, Part IV, Subpart ii, 1.I.7.e if exposure is not otherwise demonstrated.</w:t>
            </w:r>
          </w:p>
        </w:tc>
      </w:tr>
    </w:tbl>
    <w:p w14:paraId="3D61E1B8" w14:textId="77777777" w:rsidR="00C25BDC" w:rsidRPr="00DE1573" w:rsidRDefault="00C25BDC" w:rsidP="00C25BDC">
      <w:pPr>
        <w:tabs>
          <w:tab w:val="left" w:pos="9360"/>
        </w:tabs>
        <w:ind w:left="1714"/>
        <w:rPr>
          <w:u w:val="single"/>
        </w:rPr>
      </w:pPr>
      <w:r w:rsidRPr="00DE1573">
        <w:rPr>
          <w:u w:val="single"/>
        </w:rPr>
        <w:tab/>
      </w:r>
    </w:p>
    <w:p w14:paraId="01096D0D" w14:textId="77777777" w:rsidR="000D7A57" w:rsidRPr="00DE1573" w:rsidRDefault="000D7A57" w:rsidP="00C25BDC">
      <w:pPr>
        <w:tabs>
          <w:tab w:val="left" w:pos="9360"/>
        </w:tabs>
        <w:ind w:left="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25BDC" w:rsidRPr="00DE1573" w14:paraId="7D28FE2C" w14:textId="77777777" w:rsidTr="009A6BE8">
        <w:tc>
          <w:tcPr>
            <w:tcW w:w="1728" w:type="dxa"/>
            <w:shd w:val="clear" w:color="auto" w:fill="auto"/>
          </w:tcPr>
          <w:p w14:paraId="6F1D2988" w14:textId="74E28259" w:rsidR="00C25BDC" w:rsidRPr="00DE1573" w:rsidRDefault="002070BB">
            <w:pPr>
              <w:rPr>
                <w:b/>
                <w:sz w:val="22"/>
              </w:rPr>
            </w:pPr>
            <w:r w:rsidRPr="00DE1573">
              <w:rPr>
                <w:b/>
                <w:sz w:val="22"/>
              </w:rPr>
              <w:lastRenderedPageBreak/>
              <w:t>g</w:t>
            </w:r>
            <w:r w:rsidR="00C25BDC" w:rsidRPr="00DE1573">
              <w:rPr>
                <w:b/>
                <w:sz w:val="22"/>
              </w:rPr>
              <w:t xml:space="preserve">. </w:t>
            </w:r>
            <w:r w:rsidR="005E1929" w:rsidRPr="00DE1573">
              <w:rPr>
                <w:b/>
                <w:sz w:val="22"/>
              </w:rPr>
              <w:t xml:space="preserve"> </w:t>
            </w:r>
            <w:r w:rsidR="00C25BDC" w:rsidRPr="00DE1573">
              <w:rPr>
                <w:b/>
                <w:sz w:val="22"/>
              </w:rPr>
              <w:t xml:space="preserve">Procedure When </w:t>
            </w:r>
            <w:r w:rsidR="00BA32AC" w:rsidRPr="00DE1573">
              <w:rPr>
                <w:b/>
                <w:sz w:val="22"/>
              </w:rPr>
              <w:t xml:space="preserve">Receiving Confirmation of </w:t>
            </w:r>
            <w:r w:rsidR="00C25BDC" w:rsidRPr="00DE1573">
              <w:rPr>
                <w:b/>
                <w:sz w:val="22"/>
              </w:rPr>
              <w:t xml:space="preserve">SHAD </w:t>
            </w:r>
            <w:r w:rsidR="003753E5" w:rsidRPr="00DE1573">
              <w:rPr>
                <w:b/>
                <w:sz w:val="22"/>
              </w:rPr>
              <w:t>P</w:t>
            </w:r>
            <w:r w:rsidR="00BA32AC" w:rsidRPr="00DE1573">
              <w:rPr>
                <w:b/>
                <w:sz w:val="22"/>
              </w:rPr>
              <w:t>articipation</w:t>
            </w:r>
          </w:p>
        </w:tc>
        <w:tc>
          <w:tcPr>
            <w:tcW w:w="7740" w:type="dxa"/>
            <w:shd w:val="clear" w:color="auto" w:fill="auto"/>
          </w:tcPr>
          <w:p w14:paraId="4CCF3081" w14:textId="6E827A93" w:rsidR="00C25BDC" w:rsidRPr="00DE1573" w:rsidRDefault="00C25BDC" w:rsidP="00C25BDC">
            <w:r w:rsidRPr="00DE1573">
              <w:t>If a claimant is found to have been a</w:t>
            </w:r>
            <w:r w:rsidR="00C20103" w:rsidRPr="00DE1573">
              <w:t xml:space="preserve"> Project</w:t>
            </w:r>
            <w:r w:rsidRPr="00DE1573">
              <w:t xml:space="preserve"> SHAD participant</w:t>
            </w:r>
            <w:r w:rsidR="00E05A3B" w:rsidRPr="00DE1573">
              <w:t>,</w:t>
            </w:r>
            <w:r w:rsidRPr="00DE1573">
              <w:t xml:space="preserve"> schedule all appropriate examinations.  Examinations should include the following </w:t>
            </w:r>
            <w:r w:rsidR="000D7A57" w:rsidRPr="00DE1573">
              <w:t xml:space="preserve">using </w:t>
            </w:r>
            <w:r w:rsidR="00E54E2B" w:rsidRPr="00DE1573">
              <w:rPr>
                <w:i/>
              </w:rPr>
              <w:t>Fact Sheets</w:t>
            </w:r>
            <w:r w:rsidR="000D7A57" w:rsidRPr="00DE1573">
              <w:t xml:space="preserve"> </w:t>
            </w:r>
            <w:r w:rsidRPr="00DE1573">
              <w:t xml:space="preserve">from the </w:t>
            </w:r>
            <w:hyperlink r:id="rId35" w:history="1">
              <w:r w:rsidRPr="00DE1573">
                <w:rPr>
                  <w:rStyle w:val="Hyperlink"/>
                </w:rPr>
                <w:t>Project 112/SHAD Fact Sheets</w:t>
              </w:r>
            </w:hyperlink>
            <w:r w:rsidRPr="00DE1573">
              <w:t xml:space="preserve"> site</w:t>
            </w:r>
          </w:p>
          <w:p w14:paraId="4384A67F" w14:textId="77777777" w:rsidR="00C25BDC" w:rsidRPr="00DE1573" w:rsidRDefault="00C25BDC" w:rsidP="00C25BDC"/>
          <w:p w14:paraId="52F4239D" w14:textId="7DE7649E" w:rsidR="00C25BDC" w:rsidRPr="00DE1573" w:rsidRDefault="00C25BDC" w:rsidP="00DA4813">
            <w:pPr>
              <w:pStyle w:val="ListParagraph"/>
              <w:numPr>
                <w:ilvl w:val="0"/>
                <w:numId w:val="9"/>
              </w:numPr>
              <w:ind w:left="158" w:hanging="187"/>
            </w:pPr>
            <w:r w:rsidRPr="00DE1573">
              <w:t>a request for a medical opinion regarding any relationship between the claimant</w:t>
            </w:r>
            <w:r w:rsidR="00810067" w:rsidRPr="00DE1573">
              <w:t>’</w:t>
            </w:r>
            <w:r w:rsidRPr="00DE1573">
              <w:t>s current disability and exposure to agents</w:t>
            </w:r>
            <w:r w:rsidR="004F0CA0" w:rsidRPr="00DE1573">
              <w:t xml:space="preserve">, </w:t>
            </w:r>
            <w:r w:rsidRPr="00DE1573">
              <w:t>simulants</w:t>
            </w:r>
            <w:r w:rsidR="004F0CA0" w:rsidRPr="00DE1573">
              <w:t>, tracers, and decontaminants</w:t>
            </w:r>
            <w:r w:rsidRPr="00DE1573">
              <w:t xml:space="preserve"> used in the test(s) the claimant was involved in, and</w:t>
            </w:r>
          </w:p>
          <w:p w14:paraId="7B0710D4" w14:textId="77777777" w:rsidR="00C25BDC" w:rsidRPr="00DE1573" w:rsidRDefault="00C25BDC" w:rsidP="00DA4813">
            <w:pPr>
              <w:pStyle w:val="ListParagraph"/>
              <w:numPr>
                <w:ilvl w:val="0"/>
                <w:numId w:val="9"/>
              </w:numPr>
              <w:ind w:left="158" w:hanging="187"/>
            </w:pPr>
            <w:proofErr w:type="gramStart"/>
            <w:r w:rsidRPr="00DE1573">
              <w:t>a</w:t>
            </w:r>
            <w:proofErr w:type="gramEnd"/>
            <w:r w:rsidRPr="00DE1573">
              <w:t xml:space="preserve"> copy of all applicable DoD </w:t>
            </w:r>
            <w:r w:rsidRPr="00DE1573">
              <w:rPr>
                <w:i/>
              </w:rPr>
              <w:t>Fact Sheets</w:t>
            </w:r>
            <w:r w:rsidRPr="00DE1573">
              <w:t xml:space="preserve"> for the test(s) the claimant participated in.</w:t>
            </w:r>
          </w:p>
          <w:p w14:paraId="591D8A34" w14:textId="77777777" w:rsidR="00C25BDC" w:rsidRPr="00DE1573" w:rsidRDefault="00C25BDC" w:rsidP="00C25BDC"/>
          <w:p w14:paraId="269A3209" w14:textId="77777777" w:rsidR="004F0CA0" w:rsidRPr="00DE1573" w:rsidRDefault="00C25BDC" w:rsidP="00C25BDC">
            <w:r w:rsidRPr="00DE1573">
              <w:rPr>
                <w:b/>
                <w:i/>
              </w:rPr>
              <w:t>Note</w:t>
            </w:r>
            <w:r w:rsidR="00684713" w:rsidRPr="00DE1573">
              <w:rPr>
                <w:b/>
                <w:i/>
              </w:rPr>
              <w:t>s</w:t>
            </w:r>
            <w:r w:rsidRPr="00DE1573">
              <w:t>:</w:t>
            </w:r>
          </w:p>
          <w:p w14:paraId="5D4BCA06" w14:textId="310BFF6E" w:rsidR="00C25BDC" w:rsidRPr="00DE1573" w:rsidRDefault="004F0CA0" w:rsidP="00DA4813">
            <w:pPr>
              <w:pStyle w:val="ListParagraph"/>
              <w:numPr>
                <w:ilvl w:val="0"/>
                <w:numId w:val="16"/>
              </w:numPr>
              <w:ind w:left="158" w:hanging="187"/>
            </w:pPr>
            <w:r w:rsidRPr="00DE1573">
              <w:t xml:space="preserve">If the name of the test(s) is/are known, in the comment section of the examination request include a list of the agents, simulants, tracers, and decontaminants listed in the DoD </w:t>
            </w:r>
            <w:r w:rsidRPr="00DE1573">
              <w:rPr>
                <w:i/>
              </w:rPr>
              <w:t>Fact Sheet</w:t>
            </w:r>
            <w:r w:rsidRPr="00DE1573">
              <w:t>.</w:t>
            </w:r>
          </w:p>
          <w:p w14:paraId="3F923FEA" w14:textId="77777777" w:rsidR="00C25BDC" w:rsidRPr="00DE1573" w:rsidRDefault="00C25BDC" w:rsidP="00DA4813">
            <w:pPr>
              <w:pStyle w:val="ListParagraph"/>
              <w:numPr>
                <w:ilvl w:val="0"/>
                <w:numId w:val="10"/>
              </w:numPr>
              <w:ind w:left="158" w:hanging="187"/>
            </w:pPr>
            <w:r w:rsidRPr="00DE1573">
              <w:t>Many claimants were involved in multiple tests.  Medical examiners need information about all tests for which the claimant was involved.</w:t>
            </w:r>
          </w:p>
          <w:p w14:paraId="68AAD7E3" w14:textId="57253DA0" w:rsidR="00C25BDC" w:rsidRPr="00DE1573" w:rsidRDefault="00C25BDC" w:rsidP="00DA4813">
            <w:pPr>
              <w:pStyle w:val="ListParagraph"/>
              <w:numPr>
                <w:ilvl w:val="0"/>
                <w:numId w:val="10"/>
              </w:numPr>
              <w:ind w:left="158" w:hanging="187"/>
            </w:pPr>
            <w:r w:rsidRPr="00DE1573">
              <w:t xml:space="preserve">Additionally, </w:t>
            </w:r>
            <w:r w:rsidR="00810067" w:rsidRPr="00DE1573">
              <w:t>SC</w:t>
            </w:r>
            <w:r w:rsidRPr="00DE1573">
              <w:t xml:space="preserve"> should be considered on direct and presumptive bases</w:t>
            </w:r>
            <w:r w:rsidR="00810067" w:rsidRPr="00DE1573">
              <w:t>,</w:t>
            </w:r>
            <w:r w:rsidRPr="00DE1573">
              <w:t xml:space="preserve"> where applicable.</w:t>
            </w:r>
          </w:p>
        </w:tc>
      </w:tr>
    </w:tbl>
    <w:p w14:paraId="28ABCE9A" w14:textId="77777777" w:rsidR="00C25BDC" w:rsidRPr="00DE1573" w:rsidRDefault="00C25BDC" w:rsidP="00C25BDC">
      <w:pPr>
        <w:tabs>
          <w:tab w:val="left" w:pos="9360"/>
        </w:tabs>
        <w:ind w:left="1714"/>
      </w:pPr>
      <w:r w:rsidRPr="00DE1573">
        <w:rPr>
          <w:u w:val="single"/>
        </w:rPr>
        <w:tab/>
      </w:r>
    </w:p>
    <w:p w14:paraId="2818D76E" w14:textId="77777777" w:rsidR="004E2FC4" w:rsidRPr="00DE1573" w:rsidRDefault="004E2FC4">
      <w:r w:rsidRPr="00DE1573">
        <w:br w:type="page"/>
      </w:r>
    </w:p>
    <w:p w14:paraId="44BBFBB5" w14:textId="765D56F7" w:rsidR="004E2FC4" w:rsidRPr="00DE1573" w:rsidRDefault="00327641">
      <w:pPr>
        <w:rPr>
          <w:rFonts w:ascii="Arial" w:hAnsi="Arial" w:cs="Arial"/>
          <w:b/>
          <w:sz w:val="32"/>
          <w:szCs w:val="32"/>
        </w:rPr>
      </w:pPr>
      <w:r w:rsidRPr="00DE1573">
        <w:rPr>
          <w:rFonts w:ascii="Arial" w:hAnsi="Arial" w:cs="Arial"/>
          <w:b/>
          <w:sz w:val="32"/>
          <w:szCs w:val="32"/>
        </w:rPr>
        <w:lastRenderedPageBreak/>
        <w:t>8</w:t>
      </w:r>
      <w:r w:rsidR="004E2FC4" w:rsidRPr="00DE1573">
        <w:rPr>
          <w:rFonts w:ascii="Arial" w:hAnsi="Arial" w:cs="Arial"/>
          <w:b/>
          <w:sz w:val="32"/>
          <w:szCs w:val="32"/>
        </w:rPr>
        <w:t>.  Developing Claims Based on CBRNE Testing</w:t>
      </w:r>
    </w:p>
    <w:p w14:paraId="6D4C77F7" w14:textId="6A25E8A0" w:rsidR="004E2FC4" w:rsidRPr="00DE1573" w:rsidRDefault="004E2FC4" w:rsidP="004E2FC4">
      <w:pPr>
        <w:tabs>
          <w:tab w:val="left" w:pos="9360"/>
        </w:tabs>
        <w:ind w:left="1714"/>
        <w:rPr>
          <w:b/>
          <w:sz w:val="22"/>
          <w:szCs w:val="22"/>
        </w:rPr>
      </w:pPr>
      <w:r w:rsidRPr="00DE1573">
        <w:rPr>
          <w:b/>
          <w:sz w:val="22"/>
          <w:szCs w:val="22"/>
          <w:u w:val="single"/>
        </w:rPr>
        <w:tab/>
      </w:r>
    </w:p>
    <w:p w14:paraId="12F0937C" w14:textId="77F6BF67" w:rsidR="004E2FC4" w:rsidRPr="00DE1573" w:rsidRDefault="004E2FC4" w:rsidP="004E2FC4">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4E2FC4" w:rsidRPr="00DE1573" w14:paraId="5C780FE7" w14:textId="77777777" w:rsidTr="004E2FC4">
        <w:tc>
          <w:tcPr>
            <w:tcW w:w="1728" w:type="dxa"/>
            <w:shd w:val="clear" w:color="auto" w:fill="auto"/>
          </w:tcPr>
          <w:p w14:paraId="1B8FCB4F" w14:textId="76549B8A" w:rsidR="004E2FC4" w:rsidRPr="00DE1573" w:rsidRDefault="004E2FC4" w:rsidP="004E2FC4">
            <w:pPr>
              <w:rPr>
                <w:b/>
                <w:sz w:val="22"/>
                <w:szCs w:val="22"/>
              </w:rPr>
            </w:pPr>
            <w:r w:rsidRPr="00DE1573">
              <w:rPr>
                <w:b/>
                <w:sz w:val="22"/>
                <w:szCs w:val="22"/>
              </w:rPr>
              <w:t>Introduction</w:t>
            </w:r>
          </w:p>
        </w:tc>
        <w:tc>
          <w:tcPr>
            <w:tcW w:w="7740" w:type="dxa"/>
            <w:shd w:val="clear" w:color="auto" w:fill="auto"/>
          </w:tcPr>
          <w:p w14:paraId="4F1CA571" w14:textId="77777777" w:rsidR="004E2FC4" w:rsidRPr="00DE1573" w:rsidRDefault="004E2FC4" w:rsidP="004E2FC4">
            <w:r w:rsidRPr="00DE1573">
              <w:t>This topic contains information on developin</w:t>
            </w:r>
            <w:r w:rsidR="00967315" w:rsidRPr="00DE1573">
              <w:t>g claims based on CBRNE testing, including</w:t>
            </w:r>
          </w:p>
          <w:p w14:paraId="42B6A6B1" w14:textId="77777777" w:rsidR="00967315" w:rsidRPr="00DE1573" w:rsidRDefault="00967315" w:rsidP="004E2FC4"/>
          <w:p w14:paraId="22986064" w14:textId="7EB21352" w:rsidR="00967315" w:rsidRPr="00DE1573" w:rsidRDefault="00967315" w:rsidP="00DA4813">
            <w:pPr>
              <w:pStyle w:val="ListParagraph"/>
              <w:numPr>
                <w:ilvl w:val="0"/>
                <w:numId w:val="17"/>
              </w:numPr>
              <w:ind w:left="158" w:hanging="187"/>
            </w:pPr>
            <w:r w:rsidRPr="00DE1573">
              <w:t>definition of CBRNE claims</w:t>
            </w:r>
          </w:p>
          <w:p w14:paraId="2981C44D" w14:textId="5C1869B3" w:rsidR="007E6013" w:rsidRPr="00DE1573" w:rsidRDefault="007E6013" w:rsidP="00DA4813">
            <w:pPr>
              <w:pStyle w:val="ListParagraph"/>
              <w:numPr>
                <w:ilvl w:val="0"/>
                <w:numId w:val="17"/>
              </w:numPr>
              <w:ind w:left="158" w:hanging="187"/>
            </w:pPr>
            <w:r w:rsidRPr="00DE1573">
              <w:t>action</w:t>
            </w:r>
            <w:r w:rsidR="00C347A2" w:rsidRPr="00DE1573">
              <w:t xml:space="preserve"> to take when the Veteran claim</w:t>
            </w:r>
            <w:r w:rsidRPr="00DE1573">
              <w:t>s exposure to CBRNE testing but does not claim a disability</w:t>
            </w:r>
          </w:p>
          <w:p w14:paraId="0CBCCC8C" w14:textId="77777777" w:rsidR="00967315" w:rsidRPr="00DE1573" w:rsidRDefault="00EE2F50" w:rsidP="00DA4813">
            <w:pPr>
              <w:pStyle w:val="ListParagraph"/>
              <w:numPr>
                <w:ilvl w:val="0"/>
                <w:numId w:val="17"/>
              </w:numPr>
              <w:ind w:left="158" w:hanging="187"/>
            </w:pPr>
            <w:r w:rsidRPr="00DE1573">
              <w:t>EP control procedures for claims based on CBRNE testing</w:t>
            </w:r>
          </w:p>
          <w:p w14:paraId="722E1F76" w14:textId="506A0515" w:rsidR="000625B0" w:rsidRPr="00DE1573" w:rsidRDefault="000625B0" w:rsidP="00DA4813">
            <w:pPr>
              <w:pStyle w:val="ListParagraph"/>
              <w:numPr>
                <w:ilvl w:val="0"/>
                <w:numId w:val="17"/>
              </w:numPr>
              <w:ind w:left="158" w:hanging="187"/>
            </w:pPr>
            <w:r w:rsidRPr="00DE1573">
              <w:t>sending notification of entitlement to medical tr</w:t>
            </w:r>
            <w:r w:rsidR="00C20103" w:rsidRPr="00DE1573">
              <w:t>eatment at a VAMC</w:t>
            </w:r>
            <w:r w:rsidRPr="00DE1573">
              <w:t xml:space="preserve"> for individuals claiming exposure as a test participant  </w:t>
            </w:r>
          </w:p>
          <w:p w14:paraId="4041A180" w14:textId="7B7D073E" w:rsidR="00F73EA8" w:rsidRPr="00DE1573" w:rsidRDefault="00C94D7F" w:rsidP="00DA4813">
            <w:pPr>
              <w:pStyle w:val="ListParagraph"/>
              <w:numPr>
                <w:ilvl w:val="0"/>
                <w:numId w:val="17"/>
              </w:numPr>
              <w:ind w:left="158" w:hanging="187"/>
            </w:pPr>
            <w:r w:rsidRPr="00DE1573">
              <w:t xml:space="preserve">use of the </w:t>
            </w:r>
            <w:proofErr w:type="spellStart"/>
            <w:r w:rsidRPr="00DE1573">
              <w:t>Chem</w:t>
            </w:r>
            <w:proofErr w:type="spellEnd"/>
            <w:r w:rsidRPr="00DE1573">
              <w:t>-Bio</w:t>
            </w:r>
            <w:r w:rsidR="00B97BE5" w:rsidRPr="00DE1573">
              <w:t xml:space="preserve"> D</w:t>
            </w:r>
            <w:r w:rsidR="00F73EA8" w:rsidRPr="00DE1573">
              <w:t>atabase</w:t>
            </w:r>
          </w:p>
          <w:p w14:paraId="73A15CF9" w14:textId="1078C31B" w:rsidR="00377F02" w:rsidRPr="00DE1573" w:rsidRDefault="00377F02" w:rsidP="00DA4813">
            <w:pPr>
              <w:pStyle w:val="ListParagraph"/>
              <w:numPr>
                <w:ilvl w:val="0"/>
                <w:numId w:val="17"/>
              </w:numPr>
              <w:ind w:left="158" w:hanging="187"/>
            </w:pPr>
            <w:r w:rsidRPr="00DE1573">
              <w:t>procedure to follow after attempting to verify participation in CBRNE testing</w:t>
            </w:r>
          </w:p>
          <w:p w14:paraId="16954D94" w14:textId="06A25817" w:rsidR="007E6013" w:rsidRPr="00DE1573" w:rsidRDefault="007E6013" w:rsidP="00DA4813">
            <w:pPr>
              <w:pStyle w:val="ListParagraph"/>
              <w:numPr>
                <w:ilvl w:val="0"/>
                <w:numId w:val="17"/>
              </w:numPr>
              <w:ind w:left="158" w:hanging="187"/>
            </w:pPr>
            <w:r w:rsidRPr="00DE1573">
              <w:t>completing the request to Compensation Service to verify participation in CBRNE testing</w:t>
            </w:r>
          </w:p>
          <w:p w14:paraId="37CED812" w14:textId="1544080D" w:rsidR="00E22D61" w:rsidRPr="00DE1573" w:rsidRDefault="00E22D61" w:rsidP="00DA4813">
            <w:pPr>
              <w:pStyle w:val="ListParagraph"/>
              <w:numPr>
                <w:ilvl w:val="0"/>
                <w:numId w:val="17"/>
              </w:numPr>
              <w:ind w:left="158" w:hanging="187"/>
            </w:pPr>
            <w:r w:rsidRPr="00DE1573">
              <w:t>where to schedule an examination for claims based on CBRNE testing</w:t>
            </w:r>
          </w:p>
          <w:p w14:paraId="1F4F0365" w14:textId="20896779" w:rsidR="00E33C5D" w:rsidRPr="00DE1573" w:rsidRDefault="00E22D61" w:rsidP="00DA4813">
            <w:pPr>
              <w:pStyle w:val="ListParagraph"/>
              <w:numPr>
                <w:ilvl w:val="0"/>
                <w:numId w:val="17"/>
              </w:numPr>
              <w:ind w:left="158" w:hanging="187"/>
            </w:pPr>
            <w:r w:rsidRPr="00DE1573">
              <w:t>information to include in examination or medical opinion requests for claims based on CBRNE testing</w:t>
            </w:r>
            <w:r w:rsidR="00C9776A" w:rsidRPr="00DE1573">
              <w:t>, and</w:t>
            </w:r>
            <w:r w:rsidR="00E33C5D" w:rsidRPr="00DE1573">
              <w:t xml:space="preserve"> </w:t>
            </w:r>
          </w:p>
          <w:p w14:paraId="76775EAD" w14:textId="7F012D71" w:rsidR="009413D9" w:rsidRPr="00DE1573" w:rsidRDefault="009413D9" w:rsidP="00DA4813">
            <w:pPr>
              <w:pStyle w:val="ListParagraph"/>
              <w:numPr>
                <w:ilvl w:val="0"/>
                <w:numId w:val="17"/>
              </w:numPr>
              <w:ind w:left="158" w:hanging="187"/>
            </w:pPr>
            <w:proofErr w:type="gramStart"/>
            <w:r w:rsidRPr="00DE1573">
              <w:t>actions</w:t>
            </w:r>
            <w:proofErr w:type="gramEnd"/>
            <w:r w:rsidRPr="00DE1573">
              <w:t xml:space="preserve"> to take on EP when </w:t>
            </w:r>
            <w:r w:rsidR="003548D5" w:rsidRPr="00DE1573">
              <w:t>a response from DoD is received.</w:t>
            </w:r>
          </w:p>
        </w:tc>
      </w:tr>
    </w:tbl>
    <w:p w14:paraId="5019BDB7" w14:textId="4AB6AD07" w:rsidR="004E2FC4" w:rsidRPr="00DE1573" w:rsidRDefault="00967315" w:rsidP="00967315">
      <w:pPr>
        <w:tabs>
          <w:tab w:val="left" w:pos="9360"/>
        </w:tabs>
        <w:ind w:left="1714"/>
        <w:rPr>
          <w:b/>
          <w:sz w:val="22"/>
          <w:szCs w:val="22"/>
        </w:rPr>
      </w:pPr>
      <w:r w:rsidRPr="00DE1573">
        <w:rPr>
          <w:b/>
          <w:sz w:val="22"/>
          <w:szCs w:val="22"/>
          <w:u w:val="single"/>
        </w:rPr>
        <w:tab/>
      </w:r>
    </w:p>
    <w:p w14:paraId="7484968C" w14:textId="4B08D3A5" w:rsidR="00967315" w:rsidRPr="00DE1573" w:rsidRDefault="00967315" w:rsidP="00967315">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967315" w:rsidRPr="00DE1573" w14:paraId="66B28420" w14:textId="77777777" w:rsidTr="00967315">
        <w:tc>
          <w:tcPr>
            <w:tcW w:w="1728" w:type="dxa"/>
            <w:shd w:val="clear" w:color="auto" w:fill="auto"/>
          </w:tcPr>
          <w:p w14:paraId="21669114" w14:textId="69839AF6" w:rsidR="00967315" w:rsidRPr="00DE1573" w:rsidRDefault="00967315" w:rsidP="00967315">
            <w:pPr>
              <w:rPr>
                <w:b/>
                <w:sz w:val="22"/>
                <w:szCs w:val="22"/>
              </w:rPr>
            </w:pPr>
            <w:r w:rsidRPr="00DE1573">
              <w:rPr>
                <w:b/>
                <w:sz w:val="22"/>
                <w:szCs w:val="22"/>
              </w:rPr>
              <w:t>Change Date</w:t>
            </w:r>
          </w:p>
        </w:tc>
        <w:tc>
          <w:tcPr>
            <w:tcW w:w="7740" w:type="dxa"/>
            <w:shd w:val="clear" w:color="auto" w:fill="auto"/>
          </w:tcPr>
          <w:p w14:paraId="76D86548" w14:textId="520F7E06" w:rsidR="00967315" w:rsidRPr="00DE1573" w:rsidRDefault="00F35F0E" w:rsidP="00967315">
            <w:r w:rsidRPr="00DE1573">
              <w:t>August 7</w:t>
            </w:r>
            <w:r w:rsidR="00321A50" w:rsidRPr="00DE1573">
              <w:t>, 2015</w:t>
            </w:r>
          </w:p>
        </w:tc>
      </w:tr>
    </w:tbl>
    <w:p w14:paraId="49227C56" w14:textId="46BE2C1F" w:rsidR="00967315" w:rsidRPr="00DE1573" w:rsidRDefault="00967315" w:rsidP="00967315">
      <w:pPr>
        <w:tabs>
          <w:tab w:val="left" w:pos="9360"/>
        </w:tabs>
        <w:ind w:left="1714"/>
        <w:rPr>
          <w:b/>
          <w:sz w:val="22"/>
          <w:szCs w:val="22"/>
        </w:rPr>
      </w:pPr>
      <w:r w:rsidRPr="00DE1573">
        <w:rPr>
          <w:b/>
          <w:sz w:val="22"/>
          <w:szCs w:val="22"/>
          <w:u w:val="single"/>
        </w:rPr>
        <w:tab/>
      </w:r>
    </w:p>
    <w:p w14:paraId="08AF770F" w14:textId="5E5AD1BF" w:rsidR="00967315" w:rsidRPr="00DE1573" w:rsidRDefault="00967315" w:rsidP="00967315">
      <w:pPr>
        <w:tabs>
          <w:tab w:val="left" w:pos="9360"/>
        </w:tabs>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967315" w:rsidRPr="00DE1573" w14:paraId="488953B5" w14:textId="77777777" w:rsidTr="00967315">
        <w:tc>
          <w:tcPr>
            <w:tcW w:w="1728" w:type="dxa"/>
            <w:shd w:val="clear" w:color="auto" w:fill="auto"/>
          </w:tcPr>
          <w:p w14:paraId="2335BBFA" w14:textId="575D1368" w:rsidR="00967315" w:rsidRPr="00DE1573" w:rsidRDefault="00967315" w:rsidP="00967315">
            <w:pPr>
              <w:tabs>
                <w:tab w:val="left" w:pos="9360"/>
              </w:tabs>
              <w:rPr>
                <w:sz w:val="22"/>
                <w:szCs w:val="22"/>
              </w:rPr>
            </w:pPr>
            <w:r w:rsidRPr="00DE1573">
              <w:rPr>
                <w:b/>
                <w:sz w:val="22"/>
                <w:szCs w:val="22"/>
              </w:rPr>
              <w:t>a.  Definition:  CBRNE Claims</w:t>
            </w:r>
          </w:p>
        </w:tc>
        <w:tc>
          <w:tcPr>
            <w:tcW w:w="7740" w:type="dxa"/>
            <w:shd w:val="clear" w:color="auto" w:fill="auto"/>
          </w:tcPr>
          <w:p w14:paraId="722823B3" w14:textId="0E51D438" w:rsidR="00967315" w:rsidRPr="00DE1573" w:rsidRDefault="00967315" w:rsidP="00967315">
            <w:pPr>
              <w:tabs>
                <w:tab w:val="left" w:pos="9360"/>
              </w:tabs>
            </w:pPr>
            <w:r w:rsidRPr="00DE1573">
              <w:rPr>
                <w:b/>
                <w:i/>
              </w:rPr>
              <w:t>Chemical Biological Radiological Nuclear and Explosives (CBRNE)</w:t>
            </w:r>
            <w:r w:rsidRPr="00DE1573">
              <w:t xml:space="preserve"> claims are claims in which a Veteran claims that a disease or injury resulted from participation in any test, chemical or biological, regardless of location, other than those tests discussed at M</w:t>
            </w:r>
            <w:r w:rsidR="0071219E" w:rsidRPr="00DE1573">
              <w:t>21-1, Part IV, Subpart ii, 1.I</w:t>
            </w:r>
            <w:r w:rsidR="00C20103" w:rsidRPr="00DE1573">
              <w:t>.7</w:t>
            </w:r>
            <w:r w:rsidRPr="00DE1573">
              <w:t xml:space="preserve"> and tests involving mustard gas.</w:t>
            </w:r>
          </w:p>
          <w:p w14:paraId="08EE8E34" w14:textId="77777777" w:rsidR="00F73EA8" w:rsidRPr="00DE1573" w:rsidRDefault="00F73EA8" w:rsidP="00967315">
            <w:pPr>
              <w:tabs>
                <w:tab w:val="left" w:pos="9360"/>
              </w:tabs>
              <w:rPr>
                <w:sz w:val="22"/>
                <w:szCs w:val="22"/>
              </w:rPr>
            </w:pPr>
          </w:p>
          <w:p w14:paraId="0CDC922E" w14:textId="1EA55795" w:rsidR="00F73EA8" w:rsidRPr="00DE1573" w:rsidRDefault="00F73EA8" w:rsidP="00967315">
            <w:pPr>
              <w:tabs>
                <w:tab w:val="left" w:pos="9360"/>
              </w:tabs>
            </w:pPr>
            <w:r w:rsidRPr="00DE1573">
              <w:rPr>
                <w:b/>
                <w:i/>
              </w:rPr>
              <w:t>Example</w:t>
            </w:r>
            <w:r w:rsidR="00F92F61" w:rsidRPr="00DE1573">
              <w:rPr>
                <w:b/>
                <w:i/>
              </w:rPr>
              <w:t>s</w:t>
            </w:r>
            <w:r w:rsidRPr="00DE1573">
              <w:t xml:space="preserve">:  </w:t>
            </w:r>
            <w:r w:rsidR="00785445" w:rsidRPr="00DE1573">
              <w:t>E</w:t>
            </w:r>
            <w:r w:rsidRPr="00DE1573">
              <w:t>xposure</w:t>
            </w:r>
            <w:r w:rsidR="00F92F61" w:rsidRPr="00DE1573">
              <w:t>s</w:t>
            </w:r>
            <w:r w:rsidR="00785445" w:rsidRPr="00DE1573">
              <w:t xml:space="preserve"> </w:t>
            </w:r>
            <w:r w:rsidRPr="00DE1573">
              <w:t>during tests conducted</w:t>
            </w:r>
            <w:r w:rsidR="00F92F61" w:rsidRPr="00DE1573">
              <w:t xml:space="preserve"> at Edgewood Arsenal, Fort (Ft.) Detrick, and </w:t>
            </w:r>
            <w:proofErr w:type="spellStart"/>
            <w:r w:rsidR="00F92F61" w:rsidRPr="00DE1573">
              <w:t>Dugway</w:t>
            </w:r>
            <w:proofErr w:type="spellEnd"/>
            <w:r w:rsidR="00F92F61" w:rsidRPr="00DE1573">
              <w:t xml:space="preserve"> Proving Ground</w:t>
            </w:r>
            <w:r w:rsidRPr="00DE1573">
              <w:t>.</w:t>
            </w:r>
          </w:p>
          <w:p w14:paraId="04E093E1" w14:textId="77777777" w:rsidR="007E6013" w:rsidRPr="00DE1573" w:rsidRDefault="007E6013" w:rsidP="00967315">
            <w:pPr>
              <w:tabs>
                <w:tab w:val="left" w:pos="9360"/>
              </w:tabs>
            </w:pPr>
          </w:p>
          <w:p w14:paraId="5F7938EA" w14:textId="64E60FCF" w:rsidR="007E6013" w:rsidRPr="00DE1573" w:rsidRDefault="007E6013" w:rsidP="00967315">
            <w:pPr>
              <w:tabs>
                <w:tab w:val="left" w:pos="9360"/>
              </w:tabs>
              <w:rPr>
                <w:sz w:val="22"/>
                <w:szCs w:val="22"/>
              </w:rPr>
            </w:pPr>
            <w:r w:rsidRPr="00DE1573">
              <w:rPr>
                <w:b/>
                <w:i/>
              </w:rPr>
              <w:t>Important</w:t>
            </w:r>
            <w:r w:rsidRPr="00DE1573">
              <w:t>:  While the examples listed above are known test locations, other areas of exposure likely exist.</w:t>
            </w:r>
          </w:p>
        </w:tc>
      </w:tr>
    </w:tbl>
    <w:p w14:paraId="7AAD1DBD" w14:textId="79EF8C00" w:rsidR="00967315" w:rsidRPr="00DE1573" w:rsidRDefault="00EE2F50" w:rsidP="00EE2F50">
      <w:pPr>
        <w:tabs>
          <w:tab w:val="left" w:pos="9360"/>
        </w:tabs>
        <w:ind w:left="1714"/>
        <w:rPr>
          <w:sz w:val="22"/>
          <w:szCs w:val="22"/>
        </w:rPr>
      </w:pPr>
      <w:r w:rsidRPr="00DE1573">
        <w:rPr>
          <w:sz w:val="22"/>
          <w:szCs w:val="22"/>
          <w:u w:val="single"/>
        </w:rPr>
        <w:tab/>
      </w:r>
    </w:p>
    <w:p w14:paraId="75DACAF7" w14:textId="74AA080E" w:rsidR="00EE2F50" w:rsidRPr="00DE1573" w:rsidRDefault="00EE2F50" w:rsidP="00EE2F50">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7E6013" w:rsidRPr="00DE1573" w14:paraId="5A29F16E" w14:textId="77777777" w:rsidTr="007E6013">
        <w:tc>
          <w:tcPr>
            <w:tcW w:w="1728" w:type="dxa"/>
            <w:shd w:val="clear" w:color="auto" w:fill="auto"/>
          </w:tcPr>
          <w:p w14:paraId="61E512CC" w14:textId="6C9C7D66" w:rsidR="007E6013" w:rsidRPr="00DE1573" w:rsidRDefault="007E6013" w:rsidP="00EE2F50">
            <w:pPr>
              <w:rPr>
                <w:b/>
                <w:sz w:val="22"/>
                <w:szCs w:val="22"/>
              </w:rPr>
            </w:pPr>
            <w:r w:rsidRPr="00DE1573">
              <w:rPr>
                <w:b/>
                <w:sz w:val="22"/>
                <w:szCs w:val="22"/>
              </w:rPr>
              <w:t>b.  Action</w:t>
            </w:r>
            <w:r w:rsidR="00C347A2" w:rsidRPr="00DE1573">
              <w:rPr>
                <w:b/>
                <w:sz w:val="22"/>
                <w:szCs w:val="22"/>
              </w:rPr>
              <w:t xml:space="preserve"> to Take When the Veteran Claim</w:t>
            </w:r>
            <w:r w:rsidRPr="00DE1573">
              <w:rPr>
                <w:b/>
                <w:sz w:val="22"/>
                <w:szCs w:val="22"/>
              </w:rPr>
              <w:t>s Exposure to CBRNE Testing but Does Not Claim a Disability</w:t>
            </w:r>
          </w:p>
        </w:tc>
        <w:tc>
          <w:tcPr>
            <w:tcW w:w="7740" w:type="dxa"/>
            <w:shd w:val="clear" w:color="auto" w:fill="auto"/>
          </w:tcPr>
          <w:p w14:paraId="2C0F1874" w14:textId="63D05BAA" w:rsidR="007E6013" w:rsidRPr="00DE1573" w:rsidRDefault="007E6013" w:rsidP="00953959">
            <w:pPr>
              <w:tabs>
                <w:tab w:val="left" w:pos="9360"/>
              </w:tabs>
              <w:rPr>
                <w:sz w:val="22"/>
                <w:szCs w:val="22"/>
              </w:rPr>
            </w:pPr>
            <w:r w:rsidRPr="00DE1573">
              <w:t>Claims that allege exposure to a chemical or biological agent, but do not attribute the exposure to the development of a specific disability or disease, are not substantially complete and should not be under EP control.</w:t>
            </w:r>
          </w:p>
        </w:tc>
      </w:tr>
    </w:tbl>
    <w:p w14:paraId="3027746B" w14:textId="62E0C5B2" w:rsidR="007E6013" w:rsidRPr="00DE1573" w:rsidRDefault="00C9776A" w:rsidP="00C9776A">
      <w:pPr>
        <w:tabs>
          <w:tab w:val="left" w:pos="9360"/>
        </w:tabs>
        <w:ind w:left="1714"/>
        <w:rPr>
          <w:sz w:val="22"/>
          <w:szCs w:val="22"/>
        </w:rPr>
      </w:pPr>
      <w:r w:rsidRPr="00DE1573">
        <w:rPr>
          <w:sz w:val="22"/>
          <w:szCs w:val="22"/>
          <w:u w:val="single"/>
        </w:rPr>
        <w:tab/>
      </w:r>
    </w:p>
    <w:p w14:paraId="4785C06B" w14:textId="77777777" w:rsidR="00C9776A" w:rsidRPr="00DE1573" w:rsidRDefault="00C9776A" w:rsidP="00C9776A">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EE2F50" w:rsidRPr="00DE1573" w14:paraId="744CD802" w14:textId="77777777" w:rsidTr="00EE2F50">
        <w:tc>
          <w:tcPr>
            <w:tcW w:w="1728" w:type="dxa"/>
            <w:shd w:val="clear" w:color="auto" w:fill="auto"/>
          </w:tcPr>
          <w:p w14:paraId="48D7D960" w14:textId="22914F0A" w:rsidR="00EE2F50" w:rsidRPr="00DE1573" w:rsidRDefault="007E6013" w:rsidP="00EE2F50">
            <w:pPr>
              <w:rPr>
                <w:b/>
                <w:sz w:val="22"/>
                <w:szCs w:val="22"/>
              </w:rPr>
            </w:pPr>
            <w:r w:rsidRPr="00DE1573">
              <w:rPr>
                <w:b/>
                <w:sz w:val="22"/>
                <w:szCs w:val="22"/>
              </w:rPr>
              <w:t>c</w:t>
            </w:r>
            <w:r w:rsidR="00EE2F50" w:rsidRPr="00DE1573">
              <w:rPr>
                <w:b/>
                <w:sz w:val="22"/>
                <w:szCs w:val="22"/>
              </w:rPr>
              <w:t xml:space="preserve">.  EP Control </w:t>
            </w:r>
            <w:r w:rsidR="00EE2F50" w:rsidRPr="00DE1573">
              <w:rPr>
                <w:b/>
                <w:sz w:val="22"/>
                <w:szCs w:val="22"/>
              </w:rPr>
              <w:lastRenderedPageBreak/>
              <w:t>Procedures for Claims Based on CBRNE Testing</w:t>
            </w:r>
          </w:p>
        </w:tc>
        <w:tc>
          <w:tcPr>
            <w:tcW w:w="7740" w:type="dxa"/>
            <w:shd w:val="clear" w:color="auto" w:fill="auto"/>
          </w:tcPr>
          <w:p w14:paraId="1C9EEA43" w14:textId="77777777" w:rsidR="00EE2F50" w:rsidRPr="00DE1573" w:rsidRDefault="00EE2F50" w:rsidP="00953959">
            <w:pPr>
              <w:tabs>
                <w:tab w:val="left" w:pos="9360"/>
              </w:tabs>
            </w:pPr>
            <w:r w:rsidRPr="00DE1573">
              <w:lastRenderedPageBreak/>
              <w:t xml:space="preserve">Upon receipt of a substantially complete CBRNE claim, establish an EP 683 </w:t>
            </w:r>
            <w:r w:rsidRPr="00DE1573">
              <w:lastRenderedPageBreak/>
              <w:t>for control purposes in addition to the standard EP (for example, 010, 110, 020).</w:t>
            </w:r>
          </w:p>
          <w:p w14:paraId="3554D778" w14:textId="77777777" w:rsidR="00EE2F50" w:rsidRPr="00DE1573" w:rsidRDefault="00EE2F50" w:rsidP="00EE2F50">
            <w:pPr>
              <w:rPr>
                <w:sz w:val="22"/>
                <w:szCs w:val="22"/>
              </w:rPr>
            </w:pPr>
          </w:p>
          <w:p w14:paraId="39390819" w14:textId="77777777" w:rsidR="009413D9" w:rsidRPr="00DE1573" w:rsidRDefault="00EE2F50" w:rsidP="00EE2F50">
            <w:pPr>
              <w:rPr>
                <w:sz w:val="22"/>
                <w:szCs w:val="22"/>
              </w:rPr>
            </w:pPr>
            <w:r w:rsidRPr="00DE1573">
              <w:rPr>
                <w:b/>
                <w:i/>
                <w:sz w:val="22"/>
                <w:szCs w:val="22"/>
              </w:rPr>
              <w:t>Important</w:t>
            </w:r>
            <w:r w:rsidRPr="00DE1573">
              <w:rPr>
                <w:sz w:val="22"/>
                <w:szCs w:val="22"/>
              </w:rPr>
              <w:t xml:space="preserve">:  </w:t>
            </w:r>
          </w:p>
          <w:p w14:paraId="33E1581B" w14:textId="744716CC" w:rsidR="00EE2F50" w:rsidRPr="00DE1573" w:rsidRDefault="00EE2F50" w:rsidP="00DA4813">
            <w:pPr>
              <w:pStyle w:val="ListParagraph"/>
              <w:numPr>
                <w:ilvl w:val="0"/>
                <w:numId w:val="18"/>
              </w:numPr>
              <w:ind w:left="158" w:hanging="187"/>
            </w:pPr>
            <w:r w:rsidRPr="00DE1573">
              <w:t xml:space="preserve">EP 683 is solely reserved to control for CBRNE or SHAD claims as discussed at </w:t>
            </w:r>
            <w:r w:rsidR="009413D9" w:rsidRPr="00DE1573">
              <w:t>M21-1, Part IV, Subpart ii, 1.</w:t>
            </w:r>
            <w:r w:rsidR="0071219E" w:rsidRPr="00DE1573">
              <w:t>I</w:t>
            </w:r>
            <w:r w:rsidR="00C20103" w:rsidRPr="00DE1573">
              <w:t>.7.c</w:t>
            </w:r>
            <w:r w:rsidR="009413D9" w:rsidRPr="00DE1573">
              <w:t>.</w:t>
            </w:r>
          </w:p>
          <w:p w14:paraId="1BBB1CCE" w14:textId="7F16AA3E" w:rsidR="009413D9" w:rsidRPr="00DE1573" w:rsidRDefault="00C20103" w:rsidP="00DA4813">
            <w:pPr>
              <w:pStyle w:val="ListParagraph"/>
              <w:numPr>
                <w:ilvl w:val="0"/>
                <w:numId w:val="18"/>
              </w:numPr>
              <w:ind w:left="158" w:hanging="187"/>
            </w:pPr>
            <w:r w:rsidRPr="00DE1573">
              <w:t>Claims related to</w:t>
            </w:r>
            <w:r w:rsidR="009413D9" w:rsidRPr="00DE1573">
              <w:t xml:space="preserve"> Agent Orange or other herbicide exposure, battery acid spills, jet fuel exposure, or other exposures do </w:t>
            </w:r>
            <w:r w:rsidR="009413D9" w:rsidRPr="00DE1573">
              <w:rPr>
                <w:b/>
                <w:i/>
              </w:rPr>
              <w:t>not</w:t>
            </w:r>
            <w:r w:rsidR="009413D9" w:rsidRPr="00DE1573">
              <w:t xml:space="preserve"> qualify for this EP unless the claim involves </w:t>
            </w:r>
            <w:r w:rsidR="009413D9" w:rsidRPr="00DE1573">
              <w:rPr>
                <w:b/>
                <w:i/>
              </w:rPr>
              <w:t>test participation</w:t>
            </w:r>
            <w:r w:rsidR="009413D9" w:rsidRPr="00DE1573">
              <w:t>.</w:t>
            </w:r>
          </w:p>
        </w:tc>
      </w:tr>
    </w:tbl>
    <w:p w14:paraId="642C3C60" w14:textId="0CAB33EC" w:rsidR="00EE2F50" w:rsidRPr="00DE1573" w:rsidRDefault="009413D9" w:rsidP="009413D9">
      <w:pPr>
        <w:tabs>
          <w:tab w:val="left" w:pos="9360"/>
        </w:tabs>
        <w:ind w:left="1714"/>
        <w:rPr>
          <w:b/>
          <w:sz w:val="22"/>
          <w:szCs w:val="22"/>
        </w:rPr>
      </w:pPr>
      <w:r w:rsidRPr="00DE1573">
        <w:rPr>
          <w:b/>
          <w:sz w:val="22"/>
          <w:szCs w:val="22"/>
          <w:u w:val="single"/>
        </w:rPr>
        <w:lastRenderedPageBreak/>
        <w:tab/>
      </w:r>
    </w:p>
    <w:p w14:paraId="33DDDA98" w14:textId="26FFB6B3" w:rsidR="009413D9" w:rsidRPr="00DE1573" w:rsidRDefault="009413D9" w:rsidP="009413D9">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625B0" w:rsidRPr="00DE1573" w14:paraId="65A929CE" w14:textId="77777777" w:rsidTr="000625B0">
        <w:tc>
          <w:tcPr>
            <w:tcW w:w="1728" w:type="dxa"/>
            <w:shd w:val="clear" w:color="auto" w:fill="auto"/>
          </w:tcPr>
          <w:p w14:paraId="0EC69F09" w14:textId="6846A58E" w:rsidR="000625B0" w:rsidRPr="00DE1573" w:rsidRDefault="007E6013" w:rsidP="009413D9">
            <w:pPr>
              <w:rPr>
                <w:b/>
                <w:sz w:val="22"/>
                <w:szCs w:val="22"/>
              </w:rPr>
            </w:pPr>
            <w:r w:rsidRPr="00DE1573">
              <w:rPr>
                <w:b/>
                <w:sz w:val="22"/>
                <w:szCs w:val="22"/>
              </w:rPr>
              <w:t>d</w:t>
            </w:r>
            <w:r w:rsidR="000625B0" w:rsidRPr="00DE1573">
              <w:rPr>
                <w:b/>
                <w:sz w:val="22"/>
                <w:szCs w:val="22"/>
              </w:rPr>
              <w:t>.  Sending Notification of Entitlement to Medical Treatment at a VAMC for Individuals Claiming Exposure as a Test Participant</w:t>
            </w:r>
          </w:p>
        </w:tc>
        <w:tc>
          <w:tcPr>
            <w:tcW w:w="7740" w:type="dxa"/>
            <w:shd w:val="clear" w:color="auto" w:fill="auto"/>
          </w:tcPr>
          <w:p w14:paraId="18BFFE5F" w14:textId="048B03BD" w:rsidR="000625B0" w:rsidRPr="00DE1573" w:rsidRDefault="000625B0" w:rsidP="00391B2D">
            <w:r w:rsidRPr="00DE1573">
              <w:t>An individual claiming exposure as a test participant is entitled to receive medical treatment at a VAMC.  Include the following statement in initial correspondence following receipt of a claim based on CBRNE testing.</w:t>
            </w:r>
          </w:p>
          <w:p w14:paraId="254F1ED7" w14:textId="77777777" w:rsidR="000625B0" w:rsidRPr="00DE1573" w:rsidRDefault="000625B0" w:rsidP="009413D9">
            <w:pPr>
              <w:rPr>
                <w:sz w:val="22"/>
                <w:szCs w:val="22"/>
              </w:rPr>
            </w:pPr>
          </w:p>
          <w:p w14:paraId="23220606" w14:textId="77777777" w:rsidR="00F92F61" w:rsidRPr="00DE1573" w:rsidRDefault="000625B0" w:rsidP="00F92F61">
            <w:pPr>
              <w:pStyle w:val="RFWpara"/>
              <w:ind w:left="0"/>
              <w:rPr>
                <w:i/>
              </w:rPr>
            </w:pPr>
            <w:r w:rsidRPr="00DE1573">
              <w:rPr>
                <w:i/>
              </w:rPr>
              <w:t>Although there is no specific medical test or evaluation for the types of exposures you might have experienced more than 30 years ago, VA is offering a clinical examination to Veterans</w:t>
            </w:r>
            <w:r w:rsidR="00F92F61" w:rsidRPr="00DE1573">
              <w:rPr>
                <w:i/>
              </w:rPr>
              <w:t xml:space="preserve"> who receive this notification letter.  If you have health concerns and wish to be medically evaluated, PLEASE BRING THIS LETTER WITH YOU TO THE NEAREST VA HEALTH CARE FACILITY.  This letter will help you apply for the examination by providing needed documentation.  Additional medical information about potential exposures is available through ‘environmental health coordinators’ located in every VA medical center.</w:t>
            </w:r>
          </w:p>
          <w:p w14:paraId="6B4DE8FF" w14:textId="77777777" w:rsidR="00F92F61" w:rsidRPr="00DE1573" w:rsidRDefault="00F92F61" w:rsidP="00F92F61">
            <w:pPr>
              <w:pStyle w:val="RFWpara"/>
              <w:ind w:left="720"/>
              <w:rPr>
                <w:i/>
              </w:rPr>
            </w:pPr>
          </w:p>
          <w:p w14:paraId="6881BEC4" w14:textId="45EDD709" w:rsidR="000625B0" w:rsidRPr="00DE1573" w:rsidRDefault="00F92F61" w:rsidP="00F92F61">
            <w:pPr>
              <w:rPr>
                <w:i/>
              </w:rPr>
            </w:pPr>
            <w:r w:rsidRPr="00DE1573">
              <w:rPr>
                <w:i/>
              </w:rPr>
              <w:t>Note:</w:t>
            </w:r>
            <w:r w:rsidR="00C9776A" w:rsidRPr="00DE1573">
              <w:rPr>
                <w:i/>
              </w:rPr>
              <w:t xml:space="preserve"> </w:t>
            </w:r>
            <w:r w:rsidRPr="00DE1573">
              <w:rPr>
                <w:i/>
              </w:rPr>
              <w:t xml:space="preserve"> The examination itself does not constitute, or provide eligibility for, enrollment in the VA health care system.  If you are not already enrolled, you are encouraged to apply for VA health care benefits at the time you apply for the examination.</w:t>
            </w:r>
          </w:p>
          <w:p w14:paraId="54804350" w14:textId="77777777" w:rsidR="00F92F61" w:rsidRPr="00DE1573" w:rsidRDefault="00F92F61" w:rsidP="00F92F61">
            <w:pPr>
              <w:rPr>
                <w:i/>
              </w:rPr>
            </w:pPr>
          </w:p>
          <w:p w14:paraId="74CFDEF4" w14:textId="4C5F5E01" w:rsidR="00F92F61" w:rsidRPr="00DE1573" w:rsidRDefault="00F92F61" w:rsidP="00F92F61">
            <w:pPr>
              <w:rPr>
                <w:sz w:val="22"/>
                <w:szCs w:val="22"/>
              </w:rPr>
            </w:pPr>
            <w:r w:rsidRPr="00DE1573">
              <w:t>Include notification to the Veteran to contact DoD at (800) 497-6261 for questions about chemical or biological tests conducted during military service to include concerns about releasing classified information.</w:t>
            </w:r>
          </w:p>
        </w:tc>
      </w:tr>
    </w:tbl>
    <w:p w14:paraId="760488C4" w14:textId="188E4739" w:rsidR="000625B0" w:rsidRPr="00DE1573" w:rsidRDefault="000625B0" w:rsidP="000625B0">
      <w:pPr>
        <w:tabs>
          <w:tab w:val="left" w:pos="9360"/>
        </w:tabs>
        <w:ind w:left="1714"/>
        <w:rPr>
          <w:b/>
          <w:sz w:val="22"/>
          <w:szCs w:val="22"/>
        </w:rPr>
      </w:pPr>
      <w:r w:rsidRPr="00DE1573">
        <w:rPr>
          <w:b/>
          <w:sz w:val="22"/>
          <w:szCs w:val="22"/>
          <w:u w:val="single"/>
        </w:rPr>
        <w:tab/>
      </w:r>
    </w:p>
    <w:p w14:paraId="2F39B89F" w14:textId="77777777" w:rsidR="000625B0" w:rsidRPr="00DE1573" w:rsidRDefault="000625B0" w:rsidP="000625B0">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F73EA8" w:rsidRPr="00DE1573" w14:paraId="407B631D" w14:textId="77777777" w:rsidTr="00F73EA8">
        <w:tc>
          <w:tcPr>
            <w:tcW w:w="1728" w:type="dxa"/>
            <w:shd w:val="clear" w:color="auto" w:fill="auto"/>
          </w:tcPr>
          <w:p w14:paraId="15299F41" w14:textId="12A9BC07" w:rsidR="00F73EA8" w:rsidRPr="00DE1573" w:rsidRDefault="007E6013" w:rsidP="009413D9">
            <w:pPr>
              <w:rPr>
                <w:b/>
                <w:sz w:val="22"/>
                <w:szCs w:val="22"/>
              </w:rPr>
            </w:pPr>
            <w:r w:rsidRPr="00DE1573">
              <w:rPr>
                <w:b/>
                <w:sz w:val="22"/>
                <w:szCs w:val="22"/>
              </w:rPr>
              <w:t>e</w:t>
            </w:r>
            <w:r w:rsidR="00C94D7F" w:rsidRPr="00DE1573">
              <w:rPr>
                <w:b/>
                <w:sz w:val="22"/>
                <w:szCs w:val="22"/>
              </w:rPr>
              <w:t xml:space="preserve">.  Use of the </w:t>
            </w:r>
            <w:proofErr w:type="spellStart"/>
            <w:r w:rsidR="00C94D7F" w:rsidRPr="00DE1573">
              <w:rPr>
                <w:b/>
                <w:sz w:val="22"/>
                <w:szCs w:val="22"/>
              </w:rPr>
              <w:t>Chem</w:t>
            </w:r>
            <w:proofErr w:type="spellEnd"/>
            <w:r w:rsidR="00C94D7F" w:rsidRPr="00DE1573">
              <w:rPr>
                <w:b/>
                <w:sz w:val="22"/>
                <w:szCs w:val="22"/>
              </w:rPr>
              <w:t>-Bio</w:t>
            </w:r>
            <w:r w:rsidR="00F73EA8" w:rsidRPr="00DE1573">
              <w:rPr>
                <w:b/>
                <w:sz w:val="22"/>
                <w:szCs w:val="22"/>
              </w:rPr>
              <w:t xml:space="preserve"> Database</w:t>
            </w:r>
          </w:p>
        </w:tc>
        <w:tc>
          <w:tcPr>
            <w:tcW w:w="7740" w:type="dxa"/>
            <w:shd w:val="clear" w:color="auto" w:fill="auto"/>
          </w:tcPr>
          <w:p w14:paraId="1E95BB14" w14:textId="32A22A6F" w:rsidR="009F308D" w:rsidRPr="00DE1573" w:rsidRDefault="009F308D" w:rsidP="009F308D">
            <w:r w:rsidRPr="00DE1573">
              <w:t>The U.S. DoD and VA Chemical Biological Warfare Exposure System (</w:t>
            </w:r>
            <w:proofErr w:type="spellStart"/>
            <w:r w:rsidRPr="00DE1573">
              <w:t>Chem</w:t>
            </w:r>
            <w:proofErr w:type="spellEnd"/>
            <w:r w:rsidRPr="00DE1573">
              <w:t xml:space="preserve">-Bio) is a consolidated database for mustard gas, SHAD, and </w:t>
            </w:r>
            <w:proofErr w:type="spellStart"/>
            <w:r w:rsidRPr="00DE1573">
              <w:t>Chem</w:t>
            </w:r>
            <w:proofErr w:type="spellEnd"/>
            <w:r w:rsidRPr="00DE1573">
              <w:t xml:space="preserve">-Bio participants.  </w:t>
            </w:r>
          </w:p>
          <w:p w14:paraId="7136AEC7" w14:textId="77777777" w:rsidR="009F308D" w:rsidRPr="00DE1573" w:rsidRDefault="009F308D" w:rsidP="009F308D"/>
          <w:p w14:paraId="59DBF131" w14:textId="77777777" w:rsidR="009F308D" w:rsidRPr="00DE1573" w:rsidRDefault="009F308D" w:rsidP="009F308D">
            <w:r w:rsidRPr="00DE1573">
              <w:t xml:space="preserve">All ROs must maintain primary and alternate points of contact </w:t>
            </w:r>
            <w:proofErr w:type="gramStart"/>
            <w:r w:rsidRPr="00DE1573">
              <w:t>who</w:t>
            </w:r>
            <w:proofErr w:type="gramEnd"/>
            <w:r w:rsidRPr="00DE1573">
              <w:t xml:space="preserve"> are authorized access to DoD’s database.  These POCs are responsible for conducting preliminary research regarding claimed in-service chemical and biological agent testing-related exposures.  Access should be requested in advance of receipt of a claim based on exposure in order to ensure that claims processing is not unnecessarily delayed.</w:t>
            </w:r>
          </w:p>
          <w:p w14:paraId="1D915A73" w14:textId="77777777" w:rsidR="002070BB" w:rsidRPr="00DE1573" w:rsidRDefault="002070BB" w:rsidP="009413D9">
            <w:pPr>
              <w:rPr>
                <w:sz w:val="22"/>
                <w:szCs w:val="22"/>
              </w:rPr>
            </w:pPr>
          </w:p>
          <w:p w14:paraId="78CF36EF" w14:textId="5F12BD6A" w:rsidR="002070BB" w:rsidRPr="00DE1573" w:rsidRDefault="002070BB" w:rsidP="009413D9">
            <w:pPr>
              <w:rPr>
                <w:i/>
                <w:sz w:val="22"/>
                <w:szCs w:val="22"/>
              </w:rPr>
            </w:pPr>
            <w:r w:rsidRPr="00DE1573">
              <w:rPr>
                <w:b/>
                <w:i/>
              </w:rPr>
              <w:t>Important</w:t>
            </w:r>
            <w:r w:rsidRPr="00DE1573">
              <w:t xml:space="preserve">:  </w:t>
            </w:r>
            <w:r w:rsidR="00C94D7F" w:rsidRPr="00DE1573">
              <w:t xml:space="preserve">To request access to the </w:t>
            </w:r>
            <w:proofErr w:type="spellStart"/>
            <w:r w:rsidR="00C94D7F" w:rsidRPr="00DE1573">
              <w:t>Chem</w:t>
            </w:r>
            <w:proofErr w:type="spellEnd"/>
            <w:r w:rsidR="00C94D7F" w:rsidRPr="00DE1573">
              <w:t>-Bio</w:t>
            </w:r>
            <w:r w:rsidRPr="00DE1573">
              <w:t xml:space="preserve"> Database, send a completed </w:t>
            </w:r>
            <w:r w:rsidRPr="00DE1573">
              <w:rPr>
                <w:i/>
              </w:rPr>
              <w:t>DD Form 2875</w:t>
            </w:r>
            <w:r w:rsidRPr="00DE1573">
              <w:t xml:space="preserve"> to the CBRNE Mailbox at VAVBAWAS/CO/CBRNE.</w:t>
            </w:r>
            <w:r w:rsidRPr="00DE1573">
              <w:rPr>
                <w:i/>
                <w:sz w:val="22"/>
                <w:szCs w:val="22"/>
              </w:rPr>
              <w:t xml:space="preserve"> </w:t>
            </w:r>
          </w:p>
        </w:tc>
      </w:tr>
    </w:tbl>
    <w:p w14:paraId="4164177B" w14:textId="13341FC2" w:rsidR="00F73EA8" w:rsidRPr="00DE1573" w:rsidRDefault="00F73EA8" w:rsidP="00F73EA8">
      <w:pPr>
        <w:tabs>
          <w:tab w:val="left" w:pos="9360"/>
        </w:tabs>
        <w:ind w:left="1714"/>
        <w:rPr>
          <w:b/>
          <w:sz w:val="22"/>
          <w:szCs w:val="22"/>
        </w:rPr>
      </w:pPr>
      <w:r w:rsidRPr="00DE1573">
        <w:rPr>
          <w:b/>
          <w:sz w:val="22"/>
          <w:szCs w:val="22"/>
          <w:u w:val="single"/>
        </w:rPr>
        <w:tab/>
      </w:r>
    </w:p>
    <w:p w14:paraId="7B69545C" w14:textId="71214E3A" w:rsidR="00F73EA8" w:rsidRPr="00DE1573" w:rsidRDefault="00F73EA8" w:rsidP="00F73EA8">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77F02" w:rsidRPr="00DE1573" w14:paraId="4715EC55" w14:textId="77777777" w:rsidTr="005B3DE8">
        <w:tc>
          <w:tcPr>
            <w:tcW w:w="1728" w:type="dxa"/>
            <w:shd w:val="clear" w:color="auto" w:fill="auto"/>
          </w:tcPr>
          <w:p w14:paraId="348ED0CB" w14:textId="7388121C" w:rsidR="00377F02" w:rsidRPr="00DE1573" w:rsidRDefault="00377F02" w:rsidP="00F73EA8">
            <w:pPr>
              <w:rPr>
                <w:b/>
                <w:sz w:val="22"/>
                <w:szCs w:val="22"/>
              </w:rPr>
            </w:pPr>
            <w:r w:rsidRPr="00DE1573">
              <w:rPr>
                <w:b/>
                <w:sz w:val="22"/>
                <w:szCs w:val="22"/>
              </w:rPr>
              <w:lastRenderedPageBreak/>
              <w:t>f.  Procedure to Follow After Attempting to Verify Participation in CBRNE Testing</w:t>
            </w:r>
          </w:p>
        </w:tc>
        <w:tc>
          <w:tcPr>
            <w:tcW w:w="7740" w:type="dxa"/>
            <w:shd w:val="clear" w:color="auto" w:fill="auto"/>
          </w:tcPr>
          <w:p w14:paraId="65ECC387" w14:textId="23E1341F" w:rsidR="00377F02" w:rsidRPr="00DE1573" w:rsidRDefault="00377F02" w:rsidP="00F73EA8">
            <w:pPr>
              <w:rPr>
                <w:b/>
              </w:rPr>
            </w:pPr>
            <w:r w:rsidRPr="00DE1573">
              <w:t>Follow the steps in the table below after attempting to verify participation in CBRNE testing.</w:t>
            </w:r>
          </w:p>
        </w:tc>
      </w:tr>
    </w:tbl>
    <w:p w14:paraId="6210B13F" w14:textId="77777777" w:rsidR="00377F02" w:rsidRPr="00DE1573" w:rsidRDefault="00377F02" w:rsidP="00377F02"/>
    <w:tbl>
      <w:tblPr>
        <w:tblStyle w:val="TableGrid"/>
        <w:tblW w:w="7650" w:type="dxa"/>
        <w:tblInd w:w="1818" w:type="dxa"/>
        <w:tblLook w:val="04A0" w:firstRow="1" w:lastRow="0" w:firstColumn="1" w:lastColumn="0" w:noHBand="0" w:noVBand="1"/>
      </w:tblPr>
      <w:tblGrid>
        <w:gridCol w:w="1080"/>
        <w:gridCol w:w="6570"/>
      </w:tblGrid>
      <w:tr w:rsidR="00377F02" w:rsidRPr="00DE1573" w14:paraId="453E7AB0" w14:textId="77777777" w:rsidTr="005B3DE8">
        <w:tc>
          <w:tcPr>
            <w:tcW w:w="1080" w:type="dxa"/>
          </w:tcPr>
          <w:p w14:paraId="5EECE9B9" w14:textId="27E67909" w:rsidR="00377F02" w:rsidRPr="00DE1573" w:rsidRDefault="00377F02" w:rsidP="005B3DE8">
            <w:pPr>
              <w:jc w:val="center"/>
              <w:rPr>
                <w:b/>
              </w:rPr>
            </w:pPr>
            <w:r w:rsidRPr="00DE1573">
              <w:rPr>
                <w:b/>
              </w:rPr>
              <w:t>Step</w:t>
            </w:r>
          </w:p>
        </w:tc>
        <w:tc>
          <w:tcPr>
            <w:tcW w:w="6570" w:type="dxa"/>
          </w:tcPr>
          <w:p w14:paraId="41CF3559" w14:textId="4FBE0CE9" w:rsidR="00377F02" w:rsidRPr="00DE1573" w:rsidRDefault="00377F02" w:rsidP="005B3DE8">
            <w:pPr>
              <w:jc w:val="center"/>
              <w:rPr>
                <w:b/>
              </w:rPr>
            </w:pPr>
            <w:r w:rsidRPr="00DE1573">
              <w:rPr>
                <w:b/>
              </w:rPr>
              <w:t>Action</w:t>
            </w:r>
          </w:p>
        </w:tc>
      </w:tr>
      <w:tr w:rsidR="00377F02" w:rsidRPr="00DE1573" w14:paraId="72EF9B35" w14:textId="77777777" w:rsidTr="005B3DE8">
        <w:tc>
          <w:tcPr>
            <w:tcW w:w="1080" w:type="dxa"/>
          </w:tcPr>
          <w:p w14:paraId="08F5863C" w14:textId="2A6F961A" w:rsidR="00377F02" w:rsidRPr="00DE1573" w:rsidRDefault="00377F02" w:rsidP="005B3DE8">
            <w:pPr>
              <w:jc w:val="center"/>
            </w:pPr>
            <w:r w:rsidRPr="00DE1573">
              <w:t>1</w:t>
            </w:r>
          </w:p>
        </w:tc>
        <w:tc>
          <w:tcPr>
            <w:tcW w:w="6570" w:type="dxa"/>
          </w:tcPr>
          <w:p w14:paraId="2E5CB3A0" w14:textId="77777777" w:rsidR="00377F02" w:rsidRPr="00DE1573" w:rsidRDefault="00377F02" w:rsidP="009F308D">
            <w:r w:rsidRPr="00DE1573">
              <w:t>Veterans Service Representative (VSR) directly consults DoD’s online</w:t>
            </w:r>
            <w:r w:rsidR="00C94D7F" w:rsidRPr="00DE1573">
              <w:t xml:space="preserve"> </w:t>
            </w:r>
            <w:proofErr w:type="spellStart"/>
            <w:r w:rsidR="00C94D7F" w:rsidRPr="00DE1573">
              <w:t>Chem</w:t>
            </w:r>
            <w:proofErr w:type="spellEnd"/>
            <w:r w:rsidR="00C94D7F" w:rsidRPr="00DE1573">
              <w:t>-Bio D</w:t>
            </w:r>
            <w:r w:rsidRPr="00DE1573">
              <w:t>atabase (if he/she has access) or submits an inquiry through Compensation Service.</w:t>
            </w:r>
          </w:p>
          <w:p w14:paraId="3563CEAD" w14:textId="77777777" w:rsidR="009F308D" w:rsidRPr="00DE1573" w:rsidRDefault="009F308D" w:rsidP="009F308D"/>
          <w:p w14:paraId="4E2B6C89" w14:textId="39072B87" w:rsidR="009F308D" w:rsidRPr="00DE1573" w:rsidRDefault="00BC2354" w:rsidP="00C63C90">
            <w:r w:rsidRPr="00DE1573">
              <w:t>The minimum information that should be provided with an inquiry to Compensation Service is</w:t>
            </w:r>
            <w:r w:rsidR="00336E3B" w:rsidRPr="00DE1573">
              <w:t xml:space="preserve"> listed</w:t>
            </w:r>
            <w:r w:rsidRPr="00DE1573">
              <w:t xml:space="preserve"> in M21-1 Part IV, Subpart ii, 1.I.8.g.</w:t>
            </w:r>
          </w:p>
        </w:tc>
      </w:tr>
      <w:tr w:rsidR="00377F02" w:rsidRPr="00DE1573" w14:paraId="1607293C" w14:textId="77777777" w:rsidTr="005B3DE8">
        <w:tc>
          <w:tcPr>
            <w:tcW w:w="1080" w:type="dxa"/>
          </w:tcPr>
          <w:p w14:paraId="6D223F7B" w14:textId="69169E15" w:rsidR="00377F02" w:rsidRPr="00DE1573" w:rsidRDefault="00377F02" w:rsidP="005B3DE8">
            <w:pPr>
              <w:jc w:val="center"/>
            </w:pPr>
            <w:r w:rsidRPr="00DE1573">
              <w:t>2</w:t>
            </w:r>
          </w:p>
        </w:tc>
        <w:tc>
          <w:tcPr>
            <w:tcW w:w="6570" w:type="dxa"/>
          </w:tcPr>
          <w:p w14:paraId="2C4F4C5F" w14:textId="77777777" w:rsidR="00377F02" w:rsidRPr="00DE1573" w:rsidRDefault="00377F02" w:rsidP="00377F02">
            <w:r w:rsidRPr="00DE1573">
              <w:t>Can participation be verified by CO or the VSR?</w:t>
            </w:r>
          </w:p>
          <w:p w14:paraId="7931926E" w14:textId="77777777" w:rsidR="00377F02" w:rsidRPr="00DE1573" w:rsidRDefault="00377F02" w:rsidP="00377F02"/>
          <w:p w14:paraId="007FD21F" w14:textId="6E7B1B84" w:rsidR="00377F02" w:rsidRPr="00DE1573" w:rsidRDefault="00377F02" w:rsidP="00377F02">
            <w:pPr>
              <w:pStyle w:val="ListParagraph"/>
              <w:numPr>
                <w:ilvl w:val="0"/>
                <w:numId w:val="52"/>
              </w:numPr>
              <w:ind w:left="158" w:hanging="187"/>
            </w:pPr>
            <w:r w:rsidRPr="00DE1573">
              <w:t xml:space="preserve">If </w:t>
            </w:r>
            <w:r w:rsidRPr="00DE1573">
              <w:rPr>
                <w:i/>
              </w:rPr>
              <w:t>yes</w:t>
            </w:r>
            <w:r w:rsidRPr="00DE1573">
              <w:t>, order disability benefits questionnaire</w:t>
            </w:r>
            <w:r w:rsidR="00B97BE5" w:rsidRPr="00DE1573">
              <w:t>(s)</w:t>
            </w:r>
            <w:r w:rsidRPr="00DE1573">
              <w:t xml:space="preserve"> (DBQ</w:t>
            </w:r>
            <w:r w:rsidR="00B97BE5" w:rsidRPr="00DE1573">
              <w:t>(s)</w:t>
            </w:r>
            <w:r w:rsidRPr="00DE1573">
              <w:t xml:space="preserve">) and medical opinions, as appropriate.    </w:t>
            </w:r>
          </w:p>
          <w:p w14:paraId="42F9B9D2" w14:textId="191D7438" w:rsidR="00AD64CE" w:rsidRPr="00DE1573" w:rsidRDefault="00377F02" w:rsidP="00BD0FE0">
            <w:pPr>
              <w:pStyle w:val="ListParagraph"/>
              <w:numPr>
                <w:ilvl w:val="0"/>
                <w:numId w:val="53"/>
              </w:numPr>
              <w:ind w:left="158" w:hanging="187"/>
            </w:pPr>
            <w:r w:rsidRPr="00DE1573">
              <w:t xml:space="preserve">If </w:t>
            </w:r>
            <w:r w:rsidRPr="00DE1573">
              <w:rPr>
                <w:i/>
              </w:rPr>
              <w:t>no</w:t>
            </w:r>
            <w:r w:rsidRPr="00DE1573">
              <w:t xml:space="preserve">, </w:t>
            </w:r>
            <w:proofErr w:type="gramStart"/>
            <w:r w:rsidR="00BC2354" w:rsidRPr="00DE1573">
              <w:t>D</w:t>
            </w:r>
            <w:r w:rsidR="00785445" w:rsidRPr="00DE1573">
              <w:t>o</w:t>
            </w:r>
            <w:r w:rsidR="00BC2354" w:rsidRPr="00DE1573">
              <w:t>D</w:t>
            </w:r>
            <w:proofErr w:type="gramEnd"/>
            <w:r w:rsidR="00BC2354" w:rsidRPr="00DE1573">
              <w:t xml:space="preserve"> needs to conduct a more thorough search of their records</w:t>
            </w:r>
            <w:r w:rsidR="00336E3B" w:rsidRPr="00DE1573">
              <w:t xml:space="preserve">. </w:t>
            </w:r>
            <w:r w:rsidR="00785445" w:rsidRPr="00DE1573">
              <w:t xml:space="preserve"> </w:t>
            </w:r>
            <w:r w:rsidR="00336E3B" w:rsidRPr="00DE1573">
              <w:t>Send</w:t>
            </w:r>
            <w:r w:rsidR="00BC2354" w:rsidRPr="00DE1573">
              <w:t xml:space="preserve"> copies </w:t>
            </w:r>
            <w:r w:rsidR="0030768A" w:rsidRPr="00DE1573">
              <w:t xml:space="preserve">of the Veteran’s personnel records, to include </w:t>
            </w:r>
            <w:r w:rsidR="0030768A" w:rsidRPr="00DE1573">
              <w:rPr>
                <w:i/>
              </w:rPr>
              <w:t>DD Form 214</w:t>
            </w:r>
            <w:r w:rsidR="00BC2354" w:rsidRPr="00DE1573">
              <w:rPr>
                <w:i/>
              </w:rPr>
              <w:t xml:space="preserve">, </w:t>
            </w:r>
            <w:r w:rsidR="00BC2354" w:rsidRPr="00DE1573">
              <w:t>to:</w:t>
            </w:r>
          </w:p>
          <w:p w14:paraId="7A6371F0" w14:textId="7BC12D37" w:rsidR="00AD64CE" w:rsidRPr="00DE1573" w:rsidRDefault="00AD64CE" w:rsidP="00377F02"/>
          <w:p w14:paraId="169F498A" w14:textId="1A4D7C95" w:rsidR="00377F02" w:rsidRPr="00DE1573" w:rsidRDefault="00377F02" w:rsidP="00377F02">
            <w:r w:rsidRPr="00DE1573">
              <w:t>Department of Veterans Affairs</w:t>
            </w:r>
          </w:p>
          <w:p w14:paraId="77D4EDA6" w14:textId="472BF449" w:rsidR="00377F02" w:rsidRPr="00DE1573" w:rsidRDefault="00377F02" w:rsidP="00377F02">
            <w:r w:rsidRPr="00DE1573">
              <w:t>Compensation Service (211</w:t>
            </w:r>
            <w:r w:rsidR="009F308D" w:rsidRPr="00DE1573">
              <w:t>B</w:t>
            </w:r>
            <w:r w:rsidRPr="00DE1573">
              <w:t>)</w:t>
            </w:r>
          </w:p>
          <w:p w14:paraId="3EADF430" w14:textId="7C477DCA" w:rsidR="00377F02" w:rsidRPr="00DE1573" w:rsidRDefault="00377F02" w:rsidP="00377F02">
            <w:r w:rsidRPr="00DE1573">
              <w:t xml:space="preserve">ATTN:  </w:t>
            </w:r>
            <w:proofErr w:type="spellStart"/>
            <w:r w:rsidRPr="00DE1573">
              <w:t>Chem</w:t>
            </w:r>
            <w:proofErr w:type="spellEnd"/>
            <w:r w:rsidRPr="00DE1573">
              <w:t>-Bio Manager</w:t>
            </w:r>
          </w:p>
          <w:p w14:paraId="327DAB15" w14:textId="5DB1B673" w:rsidR="00377F02" w:rsidRPr="00DE1573" w:rsidRDefault="00377F02" w:rsidP="00377F02">
            <w:r w:rsidRPr="00DE1573">
              <w:t>810 Vermont Ave, NW</w:t>
            </w:r>
          </w:p>
          <w:p w14:paraId="1A190FB6" w14:textId="05B15497" w:rsidR="00377F02" w:rsidRPr="00DE1573" w:rsidRDefault="00377F02" w:rsidP="00377F02">
            <w:r w:rsidRPr="00DE1573">
              <w:t>Washington, DC  20420</w:t>
            </w:r>
          </w:p>
          <w:p w14:paraId="4E7C6CBE" w14:textId="77777777" w:rsidR="00377F02" w:rsidRPr="00DE1573" w:rsidRDefault="00377F02" w:rsidP="00377F02"/>
          <w:p w14:paraId="55EA3BDB" w14:textId="0A4EAAA5" w:rsidR="00377F02" w:rsidRPr="00DE1573" w:rsidRDefault="00377F02" w:rsidP="00C43EE9">
            <w:r w:rsidRPr="00DE1573">
              <w:rPr>
                <w:b/>
                <w:i/>
              </w:rPr>
              <w:t>Note</w:t>
            </w:r>
            <w:r w:rsidR="00C43EE9" w:rsidRPr="00DE1573">
              <w:t xml:space="preserve">:  </w:t>
            </w:r>
            <w:r w:rsidRPr="00DE1573">
              <w:t>If a DBQ is not available, or information is required beyond that provided in the DBQ, continue to use the traditional examination worksheets as a supplement to, or instead of, a DBQ.</w:t>
            </w:r>
          </w:p>
        </w:tc>
      </w:tr>
    </w:tbl>
    <w:p w14:paraId="02AAE509" w14:textId="015A86FB" w:rsidR="00377F02" w:rsidRPr="00DE1573" w:rsidRDefault="00377F02" w:rsidP="00377F02">
      <w:pPr>
        <w:tabs>
          <w:tab w:val="left" w:pos="9360"/>
        </w:tabs>
        <w:ind w:left="1714"/>
      </w:pPr>
      <w:r w:rsidRPr="00DE1573">
        <w:rPr>
          <w:u w:val="single"/>
        </w:rPr>
        <w:tab/>
      </w:r>
    </w:p>
    <w:p w14:paraId="0824EEB1" w14:textId="0BE5A7C3" w:rsidR="00377F02" w:rsidRPr="00DE1573" w:rsidRDefault="00377F02" w:rsidP="00377F02">
      <w:pPr>
        <w:ind w:left="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483F6C" w:rsidRPr="00DE1573" w14:paraId="0869F83C" w14:textId="77777777" w:rsidTr="00483F6C">
        <w:tc>
          <w:tcPr>
            <w:tcW w:w="1728" w:type="dxa"/>
            <w:shd w:val="clear" w:color="auto" w:fill="auto"/>
          </w:tcPr>
          <w:p w14:paraId="11C65398" w14:textId="0C1301F7" w:rsidR="00483F6C" w:rsidRPr="00DE1573" w:rsidRDefault="00377F02" w:rsidP="00F73EA8">
            <w:pPr>
              <w:rPr>
                <w:b/>
                <w:sz w:val="22"/>
                <w:szCs w:val="22"/>
              </w:rPr>
            </w:pPr>
            <w:r w:rsidRPr="00DE1573">
              <w:rPr>
                <w:b/>
                <w:sz w:val="22"/>
                <w:szCs w:val="22"/>
              </w:rPr>
              <w:t>g</w:t>
            </w:r>
            <w:r w:rsidR="00483F6C" w:rsidRPr="00DE1573">
              <w:rPr>
                <w:b/>
                <w:sz w:val="22"/>
                <w:szCs w:val="22"/>
              </w:rPr>
              <w:t>.  Completing the Request to Compensation Service to Verify Participation in CBRNE Testing</w:t>
            </w:r>
          </w:p>
        </w:tc>
        <w:tc>
          <w:tcPr>
            <w:tcW w:w="7740" w:type="dxa"/>
            <w:shd w:val="clear" w:color="auto" w:fill="auto"/>
          </w:tcPr>
          <w:p w14:paraId="1A38BA58" w14:textId="7B15BC5D" w:rsidR="00483F6C" w:rsidRPr="00DE1573" w:rsidRDefault="00483F6C" w:rsidP="00F73EA8">
            <w:r w:rsidRPr="00DE1573">
              <w:t>E-mail requests for verification of participation in CBRNE testing to the CBRNE mailbox at VAVBAWAS/CO/CBRNE.</w:t>
            </w:r>
          </w:p>
          <w:p w14:paraId="432B90D6" w14:textId="77777777" w:rsidR="00483F6C" w:rsidRPr="00DE1573" w:rsidRDefault="00483F6C" w:rsidP="00F73EA8"/>
          <w:p w14:paraId="7960464B" w14:textId="24E07C4E" w:rsidR="00483F6C" w:rsidRPr="00DE1573" w:rsidRDefault="00483F6C" w:rsidP="00F73EA8">
            <w:r w:rsidRPr="00DE1573">
              <w:t xml:space="preserve">In the subject heading of the e-mail, type </w:t>
            </w:r>
            <w:r w:rsidRPr="00DE1573">
              <w:rPr>
                <w:i/>
              </w:rPr>
              <w:t>CBRNE Test</w:t>
            </w:r>
            <w:r w:rsidRPr="00DE1573">
              <w:t>.  In the body of the e-mail, include</w:t>
            </w:r>
          </w:p>
          <w:p w14:paraId="530D7A73" w14:textId="77777777" w:rsidR="00483F6C" w:rsidRPr="00DE1573" w:rsidRDefault="00483F6C" w:rsidP="00F73EA8"/>
          <w:p w14:paraId="1E2CA3AA" w14:textId="208131C4" w:rsidR="00483F6C" w:rsidRPr="00DE1573" w:rsidRDefault="009C7AA7" w:rsidP="00DA4813">
            <w:pPr>
              <w:pStyle w:val="ListParagraph"/>
              <w:numPr>
                <w:ilvl w:val="0"/>
                <w:numId w:val="19"/>
              </w:numPr>
              <w:ind w:left="158" w:hanging="187"/>
            </w:pPr>
            <w:r w:rsidRPr="00DE1573">
              <w:t>Veteran’s full name</w:t>
            </w:r>
          </w:p>
          <w:p w14:paraId="175EFF00" w14:textId="77777777" w:rsidR="009C7AA7" w:rsidRPr="00DE1573" w:rsidRDefault="009C7AA7" w:rsidP="00DA4813">
            <w:pPr>
              <w:pStyle w:val="ListParagraph"/>
              <w:numPr>
                <w:ilvl w:val="0"/>
                <w:numId w:val="19"/>
              </w:numPr>
              <w:ind w:left="158" w:hanging="187"/>
            </w:pPr>
            <w:r w:rsidRPr="00DE1573">
              <w:t>VA claims folder number</w:t>
            </w:r>
          </w:p>
          <w:p w14:paraId="161EBB5C" w14:textId="77777777" w:rsidR="009C7AA7" w:rsidRPr="00DE1573" w:rsidRDefault="009C7AA7" w:rsidP="00DA4813">
            <w:pPr>
              <w:pStyle w:val="ListParagraph"/>
              <w:numPr>
                <w:ilvl w:val="0"/>
                <w:numId w:val="19"/>
              </w:numPr>
              <w:ind w:left="158" w:hanging="187"/>
            </w:pPr>
            <w:r w:rsidRPr="00DE1573">
              <w:t>branch of military service</w:t>
            </w:r>
          </w:p>
          <w:p w14:paraId="124088CB" w14:textId="45CA211D" w:rsidR="009C7AA7" w:rsidRPr="00DE1573" w:rsidRDefault="009C7AA7" w:rsidP="00DA4813">
            <w:pPr>
              <w:pStyle w:val="ListParagraph"/>
              <w:numPr>
                <w:ilvl w:val="0"/>
                <w:numId w:val="19"/>
              </w:numPr>
              <w:ind w:left="158" w:hanging="187"/>
            </w:pPr>
            <w:r w:rsidRPr="00DE1573">
              <w:t>SSN</w:t>
            </w:r>
          </w:p>
          <w:p w14:paraId="7993781D" w14:textId="07EDE162" w:rsidR="009C7AA7" w:rsidRPr="00DE1573" w:rsidRDefault="009C7AA7" w:rsidP="00DA4813">
            <w:pPr>
              <w:pStyle w:val="ListParagraph"/>
              <w:numPr>
                <w:ilvl w:val="0"/>
                <w:numId w:val="19"/>
              </w:numPr>
              <w:ind w:left="158" w:hanging="187"/>
            </w:pPr>
            <w:r w:rsidRPr="00DE1573">
              <w:t>service number, if applicable (older DoD records contain only the eight digit service number of test participants)</w:t>
            </w:r>
          </w:p>
          <w:p w14:paraId="4BEC2D6A" w14:textId="3E9719EB" w:rsidR="009C7AA7" w:rsidRPr="00DE1573" w:rsidRDefault="009C7AA7" w:rsidP="00DA4813">
            <w:pPr>
              <w:pStyle w:val="ListParagraph"/>
              <w:numPr>
                <w:ilvl w:val="0"/>
                <w:numId w:val="19"/>
              </w:numPr>
              <w:ind w:left="158" w:hanging="187"/>
            </w:pPr>
            <w:r w:rsidRPr="00DE1573">
              <w:t>available test information (for example, test location, description of the test, or how exposure occurred), and</w:t>
            </w:r>
          </w:p>
          <w:p w14:paraId="412D74FD" w14:textId="76654015" w:rsidR="009C7AA7" w:rsidRPr="00DE1573" w:rsidRDefault="009C7AA7" w:rsidP="00DA4813">
            <w:pPr>
              <w:pStyle w:val="ListParagraph"/>
              <w:numPr>
                <w:ilvl w:val="0"/>
                <w:numId w:val="19"/>
              </w:numPr>
              <w:ind w:left="158" w:hanging="187"/>
            </w:pPr>
            <w:proofErr w:type="gramStart"/>
            <w:r w:rsidRPr="00DE1573">
              <w:lastRenderedPageBreak/>
              <w:t>the</w:t>
            </w:r>
            <w:proofErr w:type="gramEnd"/>
            <w:r w:rsidRPr="00DE1573">
              <w:t xml:space="preserve"> nature of the disability(</w:t>
            </w:r>
            <w:proofErr w:type="spellStart"/>
            <w:r w:rsidRPr="00DE1573">
              <w:t>ies</w:t>
            </w:r>
            <w:proofErr w:type="spellEnd"/>
            <w:r w:rsidRPr="00DE1573">
              <w:t>) claimed as due to exposure to chemical or biological test agents during service.</w:t>
            </w:r>
          </w:p>
          <w:p w14:paraId="0A3B7AC5" w14:textId="77777777" w:rsidR="00483F6C" w:rsidRPr="00DE1573" w:rsidRDefault="00483F6C" w:rsidP="00F73EA8">
            <w:pPr>
              <w:rPr>
                <w:sz w:val="22"/>
                <w:szCs w:val="22"/>
              </w:rPr>
            </w:pPr>
          </w:p>
          <w:p w14:paraId="0081A37F" w14:textId="09C7704B" w:rsidR="00483F6C" w:rsidRPr="00DE1573" w:rsidRDefault="00483F6C" w:rsidP="00F73EA8">
            <w:r w:rsidRPr="00DE1573">
              <w:rPr>
                <w:b/>
                <w:i/>
              </w:rPr>
              <w:t>Important</w:t>
            </w:r>
            <w:r w:rsidRPr="00DE1573">
              <w:t>:  Even if the claim seems implausible based on evidence in the claims folder (for example, Veteran claims exposure before or after the period of 1955 to 1975)</w:t>
            </w:r>
            <w:proofErr w:type="gramStart"/>
            <w:r w:rsidRPr="00DE1573">
              <w:t>,</w:t>
            </w:r>
            <w:proofErr w:type="gramEnd"/>
            <w:r w:rsidRPr="00DE1573">
              <w:t xml:space="preserve"> it is DoD’s sole authority to validate whether an individual participated in any chemical or biological test.  </w:t>
            </w:r>
          </w:p>
        </w:tc>
      </w:tr>
    </w:tbl>
    <w:p w14:paraId="3270767D" w14:textId="2973F1CA" w:rsidR="00483F6C" w:rsidRPr="00DE1573" w:rsidRDefault="00483F6C" w:rsidP="00483F6C">
      <w:pPr>
        <w:tabs>
          <w:tab w:val="left" w:pos="9360"/>
        </w:tabs>
        <w:ind w:left="1714"/>
        <w:rPr>
          <w:b/>
          <w:sz w:val="22"/>
          <w:szCs w:val="22"/>
        </w:rPr>
      </w:pPr>
      <w:r w:rsidRPr="00DE1573">
        <w:rPr>
          <w:b/>
          <w:sz w:val="22"/>
          <w:szCs w:val="22"/>
          <w:u w:val="single"/>
        </w:rPr>
        <w:lastRenderedPageBreak/>
        <w:tab/>
      </w:r>
    </w:p>
    <w:p w14:paraId="60ADC267" w14:textId="77777777" w:rsidR="00483F6C" w:rsidRPr="00DE1573" w:rsidRDefault="00483F6C" w:rsidP="00483F6C">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E22D61" w:rsidRPr="00DE1573" w14:paraId="11052825" w14:textId="77777777" w:rsidTr="00A17DB4">
        <w:tc>
          <w:tcPr>
            <w:tcW w:w="1728" w:type="dxa"/>
            <w:shd w:val="clear" w:color="auto" w:fill="auto"/>
          </w:tcPr>
          <w:p w14:paraId="01680069" w14:textId="10783DD0" w:rsidR="00E22D61" w:rsidRPr="00DE1573" w:rsidRDefault="00E22D61" w:rsidP="00E33C5D">
            <w:pPr>
              <w:rPr>
                <w:b/>
                <w:sz w:val="22"/>
              </w:rPr>
            </w:pPr>
            <w:r w:rsidRPr="00DE1573">
              <w:rPr>
                <w:b/>
                <w:sz w:val="22"/>
              </w:rPr>
              <w:t>h.  Where to Schedule an Examination for Claims Based on CBRNE Testing</w:t>
            </w:r>
          </w:p>
        </w:tc>
        <w:tc>
          <w:tcPr>
            <w:tcW w:w="7740" w:type="dxa"/>
            <w:shd w:val="clear" w:color="auto" w:fill="auto"/>
          </w:tcPr>
          <w:p w14:paraId="0DE47911" w14:textId="51A8743F" w:rsidR="008A10B0" w:rsidRPr="00DE1573" w:rsidRDefault="00E22D61" w:rsidP="004F3CC2">
            <w:r w:rsidRPr="00DE1573">
              <w:t>If an RO determines that an examination is needed in order to decide a CBRNE claim, the RO must submit the examination request to a VA medical facility and not to a contract examiner.</w:t>
            </w:r>
          </w:p>
        </w:tc>
      </w:tr>
    </w:tbl>
    <w:p w14:paraId="282D5768" w14:textId="215D6942" w:rsidR="00E22D61" w:rsidRPr="00DE1573" w:rsidRDefault="00E22D61" w:rsidP="00E22D61">
      <w:pPr>
        <w:tabs>
          <w:tab w:val="left" w:pos="9360"/>
        </w:tabs>
        <w:ind w:left="1714"/>
      </w:pPr>
      <w:r w:rsidRPr="00DE1573">
        <w:rPr>
          <w:u w:val="single"/>
        </w:rPr>
        <w:tab/>
      </w:r>
    </w:p>
    <w:p w14:paraId="0DA866B1" w14:textId="77777777" w:rsidR="00E22D61" w:rsidRPr="00DE1573" w:rsidRDefault="00E22D61" w:rsidP="003F3B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E22D61" w:rsidRPr="00DE1573" w14:paraId="3F2BD333" w14:textId="77777777" w:rsidTr="003F3B70">
        <w:tc>
          <w:tcPr>
            <w:tcW w:w="1728" w:type="dxa"/>
            <w:shd w:val="clear" w:color="auto" w:fill="auto"/>
          </w:tcPr>
          <w:p w14:paraId="69D796D2" w14:textId="5A229DB0" w:rsidR="00E22D61" w:rsidRPr="00DE1573" w:rsidRDefault="00E22D61" w:rsidP="00E33C5D">
            <w:pPr>
              <w:rPr>
                <w:b/>
                <w:sz w:val="22"/>
              </w:rPr>
            </w:pPr>
            <w:r w:rsidRPr="00DE1573">
              <w:rPr>
                <w:b/>
                <w:sz w:val="22"/>
              </w:rPr>
              <w:t>i.  Information to Include in Examination or Medical Opinion Requests for Claims Based on CBRNE Testing</w:t>
            </w:r>
          </w:p>
        </w:tc>
        <w:tc>
          <w:tcPr>
            <w:tcW w:w="7740" w:type="dxa"/>
            <w:shd w:val="clear" w:color="auto" w:fill="auto"/>
          </w:tcPr>
          <w:p w14:paraId="5B3A334C" w14:textId="263F8F03" w:rsidR="008A10B0" w:rsidRPr="00DE1573" w:rsidRDefault="008A10B0" w:rsidP="00E33C5D">
            <w:r w:rsidRPr="00DE1573">
              <w:t xml:space="preserve">The Veterans Health Administration (VHA) has prepared </w:t>
            </w:r>
            <w:r w:rsidR="006D6051" w:rsidRPr="00DE1573">
              <w:t>Under Secretary for Health I</w:t>
            </w:r>
            <w:r w:rsidRPr="00DE1573">
              <w:t xml:space="preserve">nformation </w:t>
            </w:r>
            <w:r w:rsidR="006D6051" w:rsidRPr="00DE1573">
              <w:t>L</w:t>
            </w:r>
            <w:r w:rsidRPr="00DE1573">
              <w:t>etter</w:t>
            </w:r>
            <w:r w:rsidR="008C211C" w:rsidRPr="00DE1573">
              <w:t>,</w:t>
            </w:r>
            <w:r w:rsidRPr="00DE1573">
              <w:t xml:space="preserve"> </w:t>
            </w:r>
            <w:r w:rsidR="006D6051" w:rsidRPr="00DE1573">
              <w:t>10-2006-010</w:t>
            </w:r>
            <w:r w:rsidR="008C211C" w:rsidRPr="00DE1573">
              <w:t>,</w:t>
            </w:r>
            <w:r w:rsidR="006D6051" w:rsidRPr="00DE1573">
              <w:t xml:space="preserve"> </w:t>
            </w:r>
            <w:r w:rsidR="006D6051" w:rsidRPr="00DE1573">
              <w:rPr>
                <w:i/>
              </w:rPr>
              <w:t>Potential Health Effects Among Veterans Involved in Military Chemical Agent Experiments Conducted from 1955 to 1975</w:t>
            </w:r>
            <w:r w:rsidR="008C211C" w:rsidRPr="00DE1573">
              <w:rPr>
                <w:i/>
              </w:rPr>
              <w:t>,</w:t>
            </w:r>
            <w:r w:rsidR="006D6051" w:rsidRPr="00DE1573">
              <w:t xml:space="preserve"> </w:t>
            </w:r>
            <w:r w:rsidRPr="00DE1573">
              <w:t>t</w:t>
            </w:r>
            <w:r w:rsidR="006D6051" w:rsidRPr="00DE1573">
              <w:t>o</w:t>
            </w:r>
            <w:r w:rsidRPr="00DE1573">
              <w:t xml:space="preserve"> address questions about the potential health effects to Veterans involved in the testing of warfare agents.  The letter should be brought to the examiner’s attention either on the examination request or in information placed in the claims folder.</w:t>
            </w:r>
          </w:p>
          <w:p w14:paraId="003C3217" w14:textId="77777777" w:rsidR="008A10B0" w:rsidRPr="00DE1573" w:rsidRDefault="008A10B0" w:rsidP="00E33C5D"/>
          <w:p w14:paraId="44732784" w14:textId="4EC3039E" w:rsidR="008A10B0" w:rsidRPr="00DE1573" w:rsidRDefault="008A10B0" w:rsidP="00E33C5D">
            <w:r w:rsidRPr="00DE1573">
              <w:t xml:space="preserve">When requesting an examination, also include a list of the agents, simulants, tracers, antidotes and other forms of exposure, as applicable, to which Compensation Service has verified exposure for the Veteran in the </w:t>
            </w:r>
            <w:r w:rsidRPr="00DE1573">
              <w:rPr>
                <w:i/>
              </w:rPr>
              <w:t>Remarks</w:t>
            </w:r>
            <w:r w:rsidRPr="00DE1573">
              <w:t xml:space="preserve"> section of the examination request.</w:t>
            </w:r>
          </w:p>
          <w:p w14:paraId="62CED947" w14:textId="77777777" w:rsidR="008A10B0" w:rsidRPr="00DE1573" w:rsidRDefault="008A10B0" w:rsidP="00E33C5D"/>
          <w:p w14:paraId="0E3837D8" w14:textId="5A6A54CB" w:rsidR="00E22D61" w:rsidRPr="00DE1573" w:rsidRDefault="00E22D61" w:rsidP="00E33C5D">
            <w:r w:rsidRPr="00DE1573">
              <w:t>When requesting a medical opinion as to whether there is a relationship between a disease or disability and participation in CBRNE testing during service, include the exposure information provided in response to the request under M21-</w:t>
            </w:r>
            <w:r w:rsidR="0071219E" w:rsidRPr="00DE1573">
              <w:t>1, Part IV, Subpart ii, 1.I</w:t>
            </w:r>
            <w:r w:rsidR="00B97BE5" w:rsidRPr="00DE1573">
              <w:t>.8.g</w:t>
            </w:r>
            <w:r w:rsidRPr="00DE1573">
              <w:t xml:space="preserve"> on the medical opinion request.</w:t>
            </w:r>
          </w:p>
          <w:p w14:paraId="2646187C" w14:textId="77777777" w:rsidR="008A10B0" w:rsidRPr="00DE1573" w:rsidRDefault="008A10B0" w:rsidP="00E33C5D"/>
          <w:p w14:paraId="0EC1E2F0" w14:textId="79C5EE15" w:rsidR="003F3B70" w:rsidRPr="00DE1573" w:rsidRDefault="008A10B0" w:rsidP="003F3B70">
            <w:r w:rsidRPr="00DE1573">
              <w:rPr>
                <w:b/>
                <w:i/>
              </w:rPr>
              <w:t>Important</w:t>
            </w:r>
            <w:r w:rsidRPr="00DE1573">
              <w:t xml:space="preserve">:  When requesting an examination and/or medical opinion for claims based on CBRNE testing, ensure that the examiner is provided with the claims folder for consideration.  </w:t>
            </w:r>
          </w:p>
        </w:tc>
      </w:tr>
    </w:tbl>
    <w:p w14:paraId="069520AD" w14:textId="2801B05C" w:rsidR="00E22D61" w:rsidRPr="00DE1573" w:rsidRDefault="00E22D61" w:rsidP="00E22D61">
      <w:pPr>
        <w:tabs>
          <w:tab w:val="left" w:pos="9360"/>
        </w:tabs>
        <w:ind w:left="1714"/>
      </w:pPr>
      <w:r w:rsidRPr="00DE1573">
        <w:rPr>
          <w:u w:val="single"/>
        </w:rPr>
        <w:tab/>
      </w:r>
    </w:p>
    <w:p w14:paraId="3058923D" w14:textId="77777777" w:rsidR="00E22D61" w:rsidRPr="00DE1573" w:rsidRDefault="00E22D61" w:rsidP="003F3B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9413D9" w:rsidRPr="00DE1573" w14:paraId="1DE15A3E" w14:textId="77777777" w:rsidTr="009413D9">
        <w:tc>
          <w:tcPr>
            <w:tcW w:w="1728" w:type="dxa"/>
            <w:shd w:val="clear" w:color="auto" w:fill="auto"/>
          </w:tcPr>
          <w:p w14:paraId="3032F692" w14:textId="44DEF0F6" w:rsidR="009413D9" w:rsidRPr="00DE1573" w:rsidRDefault="00E22D61" w:rsidP="009413D9">
            <w:pPr>
              <w:rPr>
                <w:b/>
                <w:sz w:val="22"/>
                <w:szCs w:val="22"/>
              </w:rPr>
            </w:pPr>
            <w:r w:rsidRPr="00DE1573">
              <w:rPr>
                <w:b/>
                <w:sz w:val="22"/>
                <w:szCs w:val="22"/>
              </w:rPr>
              <w:t>j</w:t>
            </w:r>
            <w:r w:rsidR="009413D9" w:rsidRPr="00DE1573">
              <w:rPr>
                <w:b/>
                <w:sz w:val="22"/>
                <w:szCs w:val="22"/>
              </w:rPr>
              <w:t>.  Actions to Take on EP When a Response From DoD Is Received</w:t>
            </w:r>
          </w:p>
        </w:tc>
        <w:tc>
          <w:tcPr>
            <w:tcW w:w="7740" w:type="dxa"/>
            <w:shd w:val="clear" w:color="auto" w:fill="auto"/>
          </w:tcPr>
          <w:p w14:paraId="2E2A0A7E" w14:textId="12E528EB" w:rsidR="009413D9" w:rsidRPr="00DE1573" w:rsidRDefault="009413D9" w:rsidP="009413D9">
            <w:r w:rsidRPr="00DE1573">
              <w:t>Use the table below to determine the action to take on the EP when a response from DoD is received.</w:t>
            </w:r>
          </w:p>
        </w:tc>
      </w:tr>
    </w:tbl>
    <w:p w14:paraId="2EC992CC" w14:textId="4738D4D8" w:rsidR="00EE2F50" w:rsidRPr="00DE1573" w:rsidRDefault="00EE2F50" w:rsidP="009413D9"/>
    <w:tbl>
      <w:tblPr>
        <w:tblStyle w:val="TableGrid"/>
        <w:tblW w:w="7650" w:type="dxa"/>
        <w:tblInd w:w="1818" w:type="dxa"/>
        <w:tblLook w:val="04A0" w:firstRow="1" w:lastRow="0" w:firstColumn="1" w:lastColumn="0" w:noHBand="0" w:noVBand="1"/>
      </w:tblPr>
      <w:tblGrid>
        <w:gridCol w:w="3870"/>
        <w:gridCol w:w="3780"/>
      </w:tblGrid>
      <w:tr w:rsidR="009413D9" w:rsidRPr="00DE1573" w14:paraId="12C7F76B" w14:textId="77777777" w:rsidTr="009413D9">
        <w:tc>
          <w:tcPr>
            <w:tcW w:w="3870" w:type="dxa"/>
          </w:tcPr>
          <w:p w14:paraId="2A729760" w14:textId="48FA918F" w:rsidR="009413D9" w:rsidRPr="00DE1573" w:rsidRDefault="009413D9" w:rsidP="009413D9">
            <w:pPr>
              <w:rPr>
                <w:b/>
              </w:rPr>
            </w:pPr>
            <w:r w:rsidRPr="00DE1573">
              <w:rPr>
                <w:b/>
              </w:rPr>
              <w:t>If ...</w:t>
            </w:r>
          </w:p>
        </w:tc>
        <w:tc>
          <w:tcPr>
            <w:tcW w:w="3780" w:type="dxa"/>
          </w:tcPr>
          <w:p w14:paraId="0926062F" w14:textId="4FAEF9BC" w:rsidR="009413D9" w:rsidRPr="00DE1573" w:rsidRDefault="009413D9" w:rsidP="009413D9">
            <w:pPr>
              <w:rPr>
                <w:b/>
              </w:rPr>
            </w:pPr>
            <w:r w:rsidRPr="00DE1573">
              <w:rPr>
                <w:b/>
              </w:rPr>
              <w:t>Then ...</w:t>
            </w:r>
          </w:p>
        </w:tc>
      </w:tr>
      <w:tr w:rsidR="009413D9" w:rsidRPr="00DE1573" w14:paraId="57536FC1" w14:textId="77777777" w:rsidTr="009413D9">
        <w:tc>
          <w:tcPr>
            <w:tcW w:w="3870" w:type="dxa"/>
          </w:tcPr>
          <w:p w14:paraId="1C6B7C25" w14:textId="73C22BD6" w:rsidR="009413D9" w:rsidRPr="00DE1573" w:rsidRDefault="009413D9" w:rsidP="009413D9">
            <w:r w:rsidRPr="00DE1573">
              <w:t>DoD is unable to verify the Veteran’s participation in a CBRNE test</w:t>
            </w:r>
          </w:p>
        </w:tc>
        <w:tc>
          <w:tcPr>
            <w:tcW w:w="3780" w:type="dxa"/>
          </w:tcPr>
          <w:p w14:paraId="62865ABA" w14:textId="2A69B1F4" w:rsidR="009413D9" w:rsidRPr="00DE1573" w:rsidRDefault="009413D9" w:rsidP="009413D9">
            <w:proofErr w:type="gramStart"/>
            <w:r w:rsidRPr="00DE1573">
              <w:t>cancel</w:t>
            </w:r>
            <w:proofErr w:type="gramEnd"/>
            <w:r w:rsidRPr="00DE1573">
              <w:t xml:space="preserve"> (PCAN) the EP 683. </w:t>
            </w:r>
          </w:p>
        </w:tc>
      </w:tr>
      <w:tr w:rsidR="009413D9" w:rsidRPr="00DE1573" w14:paraId="698D8869" w14:textId="77777777" w:rsidTr="009413D9">
        <w:tc>
          <w:tcPr>
            <w:tcW w:w="3870" w:type="dxa"/>
          </w:tcPr>
          <w:p w14:paraId="36F32551" w14:textId="60833378" w:rsidR="009413D9" w:rsidRPr="00DE1573" w:rsidRDefault="009413D9" w:rsidP="009413D9">
            <w:r w:rsidRPr="00DE1573">
              <w:lastRenderedPageBreak/>
              <w:t>DoD confirms the Veteran’s participation in a CBRNE test</w:t>
            </w:r>
          </w:p>
        </w:tc>
        <w:tc>
          <w:tcPr>
            <w:tcW w:w="3780" w:type="dxa"/>
          </w:tcPr>
          <w:p w14:paraId="28EB64FA" w14:textId="5ABA7C74" w:rsidR="009413D9" w:rsidRPr="00DE1573" w:rsidRDefault="00E33C5D" w:rsidP="009413D9">
            <w:proofErr w:type="gramStart"/>
            <w:r w:rsidRPr="00DE1573">
              <w:t>leave</w:t>
            </w:r>
            <w:proofErr w:type="gramEnd"/>
            <w:r w:rsidRPr="00DE1573">
              <w:t xml:space="preserve"> the EP 683 pending until all CBRNE issues are resolved by rating decision and the Veteran is notified.</w:t>
            </w:r>
          </w:p>
        </w:tc>
      </w:tr>
    </w:tbl>
    <w:p w14:paraId="6A4A2CDF" w14:textId="60FB2D70" w:rsidR="009413D9" w:rsidRPr="00DE1573" w:rsidRDefault="00E33C5D" w:rsidP="00E33C5D">
      <w:pPr>
        <w:tabs>
          <w:tab w:val="left" w:pos="9360"/>
        </w:tabs>
        <w:ind w:left="1714"/>
      </w:pPr>
      <w:r w:rsidRPr="00DE1573">
        <w:rPr>
          <w:u w:val="single"/>
        </w:rPr>
        <w:tab/>
      </w:r>
    </w:p>
    <w:p w14:paraId="1F0B1574" w14:textId="0742CEF9" w:rsidR="00E33C5D" w:rsidRPr="00DE1573" w:rsidRDefault="00E33C5D" w:rsidP="00E33C5D">
      <w:pPr>
        <w:ind w:left="1714"/>
      </w:pPr>
    </w:p>
    <w:p w14:paraId="6221C415" w14:textId="44E6EE4C" w:rsidR="00E475B3" w:rsidRPr="00DE1573" w:rsidRDefault="00E475B3">
      <w:r w:rsidRPr="00DE1573">
        <w:br w:type="page"/>
      </w:r>
    </w:p>
    <w:p w14:paraId="0BEE0D40" w14:textId="331F1170" w:rsidR="00E475B3" w:rsidRPr="00DE1573" w:rsidRDefault="00327641" w:rsidP="00E475B3">
      <w:pPr>
        <w:rPr>
          <w:rFonts w:ascii="Arial" w:hAnsi="Arial" w:cs="Arial"/>
          <w:b/>
          <w:sz w:val="32"/>
          <w:szCs w:val="32"/>
        </w:rPr>
      </w:pPr>
      <w:bookmarkStart w:id="2" w:name="Topic9"/>
      <w:bookmarkEnd w:id="2"/>
      <w:r w:rsidRPr="00DE1573">
        <w:rPr>
          <w:rFonts w:ascii="Arial" w:hAnsi="Arial" w:cs="Arial"/>
          <w:b/>
          <w:sz w:val="32"/>
          <w:szCs w:val="32"/>
        </w:rPr>
        <w:lastRenderedPageBreak/>
        <w:t>9</w:t>
      </w:r>
      <w:r w:rsidR="00F35F0E" w:rsidRPr="00DE1573">
        <w:rPr>
          <w:rFonts w:ascii="Arial" w:hAnsi="Arial" w:cs="Arial"/>
          <w:b/>
          <w:sz w:val="32"/>
          <w:szCs w:val="32"/>
        </w:rPr>
        <w:t>.  Exhibit 1:  Fact Sheet</w:t>
      </w:r>
      <w:r w:rsidR="00E475B3" w:rsidRPr="00DE1573">
        <w:rPr>
          <w:rFonts w:ascii="Arial" w:hAnsi="Arial" w:cs="Arial"/>
          <w:b/>
          <w:sz w:val="32"/>
          <w:szCs w:val="32"/>
        </w:rPr>
        <w:t xml:space="preserve"> Burn Pits in Iraq, Afghanistan, and the Horn of Africa</w:t>
      </w:r>
    </w:p>
    <w:p w14:paraId="1AEC203B" w14:textId="77777777" w:rsidR="00D4684C" w:rsidRPr="00DE1573" w:rsidRDefault="00D4684C" w:rsidP="00D4684C">
      <w:pPr>
        <w:tabs>
          <w:tab w:val="left" w:pos="9360"/>
        </w:tabs>
        <w:ind w:left="1714"/>
      </w:pPr>
      <w:r w:rsidRPr="00DE1573">
        <w:rPr>
          <w:u w:val="single"/>
        </w:rPr>
        <w:tab/>
      </w:r>
    </w:p>
    <w:p w14:paraId="3EEBAED2" w14:textId="577579B2" w:rsidR="00E475B3" w:rsidRPr="00DE1573" w:rsidRDefault="00E475B3" w:rsidP="00D468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43EE9" w:rsidRPr="00DE1573" w14:paraId="389062C6" w14:textId="77777777" w:rsidTr="00C43EE9">
        <w:tc>
          <w:tcPr>
            <w:tcW w:w="1728" w:type="dxa"/>
            <w:shd w:val="clear" w:color="auto" w:fill="auto"/>
          </w:tcPr>
          <w:p w14:paraId="046175BC" w14:textId="162A2AB6" w:rsidR="00C43EE9" w:rsidRPr="00DE1573" w:rsidRDefault="00C43EE9" w:rsidP="00E475B3">
            <w:pPr>
              <w:rPr>
                <w:b/>
                <w:sz w:val="22"/>
              </w:rPr>
            </w:pPr>
            <w:r w:rsidRPr="00DE1573">
              <w:rPr>
                <w:b/>
                <w:sz w:val="22"/>
              </w:rPr>
              <w:t>Change Date</w:t>
            </w:r>
          </w:p>
        </w:tc>
        <w:tc>
          <w:tcPr>
            <w:tcW w:w="7740" w:type="dxa"/>
            <w:shd w:val="clear" w:color="auto" w:fill="auto"/>
          </w:tcPr>
          <w:p w14:paraId="29EE5DC7" w14:textId="1A003634" w:rsidR="00C43EE9" w:rsidRPr="00DE1573" w:rsidRDefault="00785445" w:rsidP="00E475B3">
            <w:r w:rsidRPr="00DE1573">
              <w:t>October 23, 2015</w:t>
            </w:r>
          </w:p>
        </w:tc>
      </w:tr>
    </w:tbl>
    <w:p w14:paraId="0887A945" w14:textId="7AB6800C" w:rsidR="00C43EE9" w:rsidRPr="00DE1573" w:rsidRDefault="00C43EE9" w:rsidP="00C43EE9">
      <w:pPr>
        <w:tabs>
          <w:tab w:val="left" w:pos="9360"/>
        </w:tabs>
        <w:ind w:left="1714"/>
      </w:pPr>
      <w:r w:rsidRPr="00DE1573">
        <w:rPr>
          <w:u w:val="single"/>
        </w:rPr>
        <w:tab/>
      </w:r>
    </w:p>
    <w:p w14:paraId="3EF1A8E8" w14:textId="77777777" w:rsidR="00C43EE9" w:rsidRPr="00DE1573" w:rsidRDefault="00C43EE9" w:rsidP="00C43E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E475B3" w:rsidRPr="00DE1573" w14:paraId="1691EA11" w14:textId="77777777" w:rsidTr="007F12FF">
        <w:tc>
          <w:tcPr>
            <w:tcW w:w="1728" w:type="dxa"/>
            <w:shd w:val="clear" w:color="auto" w:fill="auto"/>
          </w:tcPr>
          <w:p w14:paraId="729E8115" w14:textId="19848372" w:rsidR="00E475B3" w:rsidRPr="00DE1573" w:rsidRDefault="00E67CF6" w:rsidP="00E67CF6">
            <w:pPr>
              <w:rPr>
                <w:b/>
              </w:rPr>
            </w:pPr>
            <w:r w:rsidRPr="00DE1573">
              <w:rPr>
                <w:b/>
                <w:sz w:val="22"/>
                <w:szCs w:val="22"/>
              </w:rPr>
              <w:t xml:space="preserve">a.  </w:t>
            </w:r>
            <w:r w:rsidR="00E475B3" w:rsidRPr="00DE1573">
              <w:rPr>
                <w:b/>
                <w:sz w:val="22"/>
                <w:szCs w:val="22"/>
              </w:rPr>
              <w:t>F</w:t>
            </w:r>
            <w:r w:rsidRPr="00DE1573">
              <w:rPr>
                <w:b/>
                <w:sz w:val="22"/>
                <w:szCs w:val="22"/>
              </w:rPr>
              <w:t>act Sheet: Burn Pits in Iraq, Afghanistan, and the Horn of Africa</w:t>
            </w:r>
          </w:p>
        </w:tc>
        <w:tc>
          <w:tcPr>
            <w:tcW w:w="7740" w:type="dxa"/>
            <w:shd w:val="clear" w:color="auto" w:fill="auto"/>
          </w:tcPr>
          <w:p w14:paraId="45CAF7D1" w14:textId="77777777" w:rsidR="00E475B3" w:rsidRPr="00DE1573" w:rsidRDefault="00E475B3" w:rsidP="007F12FF">
            <w:r w:rsidRPr="00DE1573">
              <w:rPr>
                <w:i/>
              </w:rPr>
              <w:t>Fact Sheet for Claims of Exposure Based on Burn Pits in Iraq, Afghanistan, and the Horn of Africa</w:t>
            </w:r>
            <w:r w:rsidRPr="00DE1573">
              <w:t xml:space="preserve"> is shown below.</w:t>
            </w:r>
          </w:p>
        </w:tc>
      </w:tr>
    </w:tbl>
    <w:p w14:paraId="76CD392E" w14:textId="77777777" w:rsidR="00E475B3" w:rsidRPr="00DE1573" w:rsidRDefault="00E475B3" w:rsidP="00E475B3"/>
    <w:tbl>
      <w:tblPr>
        <w:tblStyle w:val="TableGrid"/>
        <w:tblW w:w="0" w:type="auto"/>
        <w:tblLook w:val="04A0" w:firstRow="1" w:lastRow="0" w:firstColumn="1" w:lastColumn="0" w:noHBand="0" w:noVBand="1"/>
      </w:tblPr>
      <w:tblGrid>
        <w:gridCol w:w="9576"/>
      </w:tblGrid>
      <w:tr w:rsidR="00E475B3" w:rsidRPr="00DE1573" w14:paraId="2AB33442" w14:textId="77777777" w:rsidTr="007F12FF">
        <w:tc>
          <w:tcPr>
            <w:tcW w:w="9576" w:type="dxa"/>
          </w:tcPr>
          <w:p w14:paraId="3A17A3F4" w14:textId="77777777" w:rsidR="00E475B3" w:rsidRPr="00DE1573" w:rsidRDefault="00E475B3" w:rsidP="007F12FF">
            <w:pPr>
              <w:jc w:val="center"/>
              <w:rPr>
                <w:b/>
                <w:u w:val="single"/>
              </w:rPr>
            </w:pPr>
            <w:r w:rsidRPr="00DE1573">
              <w:rPr>
                <w:b/>
                <w:u w:val="single"/>
              </w:rPr>
              <w:t>FACT SHEET</w:t>
            </w:r>
          </w:p>
          <w:p w14:paraId="37F9A66D" w14:textId="5B2FB4F9" w:rsidR="00E475B3" w:rsidRPr="00DE1573" w:rsidRDefault="00E475B3" w:rsidP="007F12FF">
            <w:pPr>
              <w:jc w:val="center"/>
              <w:rPr>
                <w:b/>
                <w:u w:val="single"/>
              </w:rPr>
            </w:pPr>
            <w:r w:rsidRPr="00DE1573">
              <w:rPr>
                <w:b/>
                <w:u w:val="single"/>
              </w:rPr>
              <w:t xml:space="preserve">Burn Pits in Iraq, Afghanistan, and </w:t>
            </w:r>
            <w:r w:rsidR="00072526" w:rsidRPr="00DE1573">
              <w:rPr>
                <w:b/>
                <w:u w:val="single"/>
              </w:rPr>
              <w:t xml:space="preserve">Djibouti on </w:t>
            </w:r>
            <w:r w:rsidRPr="00DE1573">
              <w:rPr>
                <w:b/>
                <w:u w:val="single"/>
              </w:rPr>
              <w:t>the Horn of Africa</w:t>
            </w:r>
          </w:p>
          <w:p w14:paraId="7F7274D1" w14:textId="77777777" w:rsidR="00E475B3" w:rsidRPr="00DE1573" w:rsidRDefault="00E475B3" w:rsidP="007F12FF">
            <w:pPr>
              <w:pStyle w:val="Heading9"/>
              <w:shd w:val="clear" w:color="auto" w:fill="C0C0C0"/>
              <w:jc w:val="center"/>
              <w:rPr>
                <w:rFonts w:cs="Arial"/>
              </w:rPr>
            </w:pPr>
            <w:r w:rsidRPr="00DE1573">
              <w:rPr>
                <w:rFonts w:cs="Arial"/>
              </w:rPr>
              <w:t>NOTICE TO VA EXAMINERS</w:t>
            </w:r>
          </w:p>
          <w:p w14:paraId="64F8723B" w14:textId="77777777" w:rsidR="00E475B3" w:rsidRPr="00DE1573" w:rsidRDefault="00E475B3" w:rsidP="007F12FF">
            <w:pPr>
              <w:pStyle w:val="Heading9"/>
              <w:shd w:val="clear" w:color="auto" w:fill="C0C0C0"/>
              <w:jc w:val="center"/>
              <w:rPr>
                <w:rFonts w:cs="Arial"/>
              </w:rPr>
            </w:pPr>
            <w:r w:rsidRPr="00DE1573">
              <w:rPr>
                <w:rFonts w:cs="Arial"/>
              </w:rPr>
              <w:t xml:space="preserve">VA Considers this Veteran Exposed to Burn Pit Toxins </w:t>
            </w:r>
          </w:p>
          <w:p w14:paraId="2A432876" w14:textId="77777777" w:rsidR="00E475B3" w:rsidRPr="00DE1573" w:rsidRDefault="00E475B3" w:rsidP="007F12FF">
            <w:pPr>
              <w:autoSpaceDE w:val="0"/>
              <w:autoSpaceDN w:val="0"/>
              <w:adjustRightInd w:val="0"/>
              <w:rPr>
                <w:rFonts w:ascii="Arial" w:hAnsi="Arial" w:cs="Arial"/>
              </w:rPr>
            </w:pPr>
          </w:p>
          <w:p w14:paraId="6D740756" w14:textId="152C22AA" w:rsidR="00E475B3" w:rsidRPr="00DE1573" w:rsidRDefault="00E475B3" w:rsidP="007F12FF">
            <w:pPr>
              <w:autoSpaceDE w:val="0"/>
              <w:autoSpaceDN w:val="0"/>
              <w:adjustRightInd w:val="0"/>
              <w:rPr>
                <w:rFonts w:ascii="Arial" w:hAnsi="Arial" w:cs="Arial"/>
              </w:rPr>
            </w:pPr>
            <w:r w:rsidRPr="00DE1573">
              <w:rPr>
                <w:rFonts w:ascii="Arial" w:hAnsi="Arial" w:cs="Arial"/>
              </w:rPr>
              <w:t>Large burn pits have been used throughout the operations in Iraq</w:t>
            </w:r>
            <w:r w:rsidR="00072526" w:rsidRPr="00DE1573">
              <w:rPr>
                <w:rFonts w:ascii="Arial" w:hAnsi="Arial" w:cs="Arial"/>
              </w:rPr>
              <w:t>,</w:t>
            </w:r>
            <w:r w:rsidRPr="00DE1573">
              <w:rPr>
                <w:rFonts w:ascii="Arial" w:hAnsi="Arial" w:cs="Arial"/>
              </w:rPr>
              <w:t xml:space="preserve"> Afghanistan</w:t>
            </w:r>
            <w:r w:rsidR="00072526" w:rsidRPr="00DE1573">
              <w:rPr>
                <w:rFonts w:ascii="Arial" w:hAnsi="Arial" w:cs="Arial"/>
              </w:rPr>
              <w:t>, and Djibouti</w:t>
            </w:r>
            <w:r w:rsidRPr="00DE1573">
              <w:rPr>
                <w:rFonts w:ascii="Arial" w:hAnsi="Arial" w:cs="Arial"/>
              </w:rPr>
              <w:t xml:space="preserve"> to dispose of nearly all forms of waste.  It is estimated that such pits, some nearly as large as 20 acres, are or have been located at every military forward operating base (FOB).  The pit at Joint Base </w:t>
            </w:r>
            <w:proofErr w:type="spellStart"/>
            <w:r w:rsidRPr="00DE1573">
              <w:rPr>
                <w:rFonts w:ascii="Arial" w:hAnsi="Arial" w:cs="Arial"/>
              </w:rPr>
              <w:t>Balad</w:t>
            </w:r>
            <w:proofErr w:type="spellEnd"/>
            <w:r w:rsidRPr="00DE1573">
              <w:rPr>
                <w:rFonts w:ascii="Arial" w:hAnsi="Arial" w:cs="Arial"/>
              </w:rPr>
              <w:t>, also known as Logistic Support Area (LSA) Anaconda, has received the most attention.  The burned waste products include, but are not limited to: plastics, metal/aluminum cans, rubber, chemicals (such as, paints, solvents), petroleum and lubricant products, munitions and other unexploded ordnance, wood waste, medical and human waste, and incomplete combustion by-products.  Jet fuel (JP-8) is used as the accelerant.  The pits do not effectively burn the volume of waste generated, and smoke from the burn pit blows over bases and into living areas.</w:t>
            </w:r>
          </w:p>
          <w:p w14:paraId="174A7198" w14:textId="77777777" w:rsidR="00E475B3" w:rsidRPr="00DE1573" w:rsidRDefault="00E475B3" w:rsidP="007F12FF">
            <w:pPr>
              <w:autoSpaceDE w:val="0"/>
              <w:autoSpaceDN w:val="0"/>
              <w:adjustRightInd w:val="0"/>
              <w:rPr>
                <w:rFonts w:ascii="Arial" w:hAnsi="Arial" w:cs="Arial"/>
              </w:rPr>
            </w:pPr>
          </w:p>
          <w:p w14:paraId="1DF497BB" w14:textId="29277666" w:rsidR="00E475B3" w:rsidRPr="00DE1573" w:rsidRDefault="00E475B3" w:rsidP="007F12FF">
            <w:pPr>
              <w:rPr>
                <w:rFonts w:ascii="Arial" w:hAnsi="Arial" w:cs="Arial"/>
              </w:rPr>
            </w:pPr>
            <w:r w:rsidRPr="00DE1573">
              <w:rPr>
                <w:rFonts w:ascii="Arial" w:hAnsi="Arial" w:cs="Arial"/>
              </w:rPr>
              <w:t xml:space="preserve">DoD has performed air sampling at Joint Base </w:t>
            </w:r>
            <w:proofErr w:type="spellStart"/>
            <w:r w:rsidRPr="00DE1573">
              <w:rPr>
                <w:rFonts w:ascii="Arial" w:hAnsi="Arial" w:cs="Arial"/>
              </w:rPr>
              <w:t>Balad</w:t>
            </w:r>
            <w:proofErr w:type="spellEnd"/>
            <w:r w:rsidRPr="00DE1573">
              <w:rPr>
                <w:rFonts w:ascii="Arial" w:hAnsi="Arial" w:cs="Arial"/>
              </w:rPr>
              <w:t>, Iraq and Camp Lemonier, Djibouti</w:t>
            </w:r>
            <w:r w:rsidR="00072526" w:rsidRPr="00DE1573">
              <w:rPr>
                <w:rFonts w:ascii="Arial" w:hAnsi="Arial" w:cs="Arial"/>
                <w:sz w:val="21"/>
                <w:szCs w:val="21"/>
              </w:rPr>
              <w:t xml:space="preserve"> </w:t>
            </w:r>
            <w:r w:rsidR="00072526" w:rsidRPr="00DE1573">
              <w:rPr>
                <w:rFonts w:ascii="Arial" w:hAnsi="Arial" w:cs="Arial"/>
              </w:rPr>
              <w:t>on the Horn of Africa</w:t>
            </w:r>
            <w:r w:rsidRPr="00DE1573">
              <w:rPr>
                <w:rFonts w:ascii="Arial" w:hAnsi="Arial" w:cs="Arial"/>
              </w:rPr>
              <w:t xml:space="preserve">.  Subsequently, DoD has indicated that most of the air samples have not shown individual chemicals that exceed military exposure guidelines (MEG).  Nonetheless, DoD further concluded that the confidence level in their risk estimates is low to medium due to lack of specific exposure information, other routes/sources of environmental hazards not identified; and uncertainty regarding the synergistic impact of multiple chemicals present, particularly those affecting the same body organs/systems.  </w:t>
            </w:r>
          </w:p>
          <w:p w14:paraId="4B6DADA9" w14:textId="77777777" w:rsidR="00E475B3" w:rsidRPr="00DE1573" w:rsidRDefault="00E475B3" w:rsidP="007F12FF">
            <w:pPr>
              <w:autoSpaceDE w:val="0"/>
              <w:autoSpaceDN w:val="0"/>
              <w:adjustRightInd w:val="0"/>
              <w:rPr>
                <w:rFonts w:ascii="Arial" w:hAnsi="Arial" w:cs="Arial"/>
              </w:rPr>
            </w:pPr>
          </w:p>
          <w:p w14:paraId="49AC063C" w14:textId="77777777" w:rsidR="00E475B3" w:rsidRPr="00DE1573" w:rsidRDefault="00E475B3" w:rsidP="007F12FF">
            <w:pPr>
              <w:autoSpaceDE w:val="0"/>
              <w:autoSpaceDN w:val="0"/>
              <w:adjustRightInd w:val="0"/>
              <w:rPr>
                <w:rFonts w:ascii="Arial" w:hAnsi="Arial" w:cs="Arial"/>
                <w:szCs w:val="20"/>
              </w:rPr>
            </w:pPr>
            <w:r w:rsidRPr="00DE1573">
              <w:rPr>
                <w:rFonts w:ascii="Arial" w:hAnsi="Arial" w:cs="Arial"/>
                <w:szCs w:val="20"/>
              </w:rPr>
              <w:t xml:space="preserve">The air sampling performed at </w:t>
            </w:r>
            <w:proofErr w:type="spellStart"/>
            <w:r w:rsidRPr="00DE1573">
              <w:rPr>
                <w:rFonts w:ascii="Arial" w:hAnsi="Arial" w:cs="Arial"/>
                <w:szCs w:val="20"/>
              </w:rPr>
              <w:t>Balad</w:t>
            </w:r>
            <w:proofErr w:type="spellEnd"/>
            <w:r w:rsidRPr="00DE1573">
              <w:rPr>
                <w:rFonts w:ascii="Arial" w:hAnsi="Arial" w:cs="Arial"/>
                <w:szCs w:val="20"/>
              </w:rPr>
              <w:t xml:space="preserve"> and discussed in an unclassified 2008 assessment tested and detected all of the following:  (1) Particulate matter (PM-10)</w:t>
            </w:r>
            <w:r w:rsidRPr="00DE1573">
              <w:rPr>
                <w:rFonts w:ascii="Arial" w:hAnsi="Arial" w:cs="Arial"/>
                <w:szCs w:val="13"/>
              </w:rPr>
              <w:t xml:space="preserve"> </w:t>
            </w:r>
            <w:r w:rsidRPr="00DE1573">
              <w:rPr>
                <w:rFonts w:ascii="Arial" w:hAnsi="Arial" w:cs="Arial"/>
                <w:szCs w:val="20"/>
              </w:rPr>
              <w:t xml:space="preserve">(and PM 2.5); (2) Polycyclic Aromatic Hydrocarbons (PAHs); (3) Volatile Organic Compounds (VOCs); and (4) Toxic Organic Halogenated Dioxins and Furans (dioxins).  Each of the foregoing is discussed below.  </w:t>
            </w:r>
          </w:p>
          <w:p w14:paraId="6777FD77" w14:textId="77777777" w:rsidR="00E475B3" w:rsidRPr="00DE1573" w:rsidRDefault="00E475B3" w:rsidP="007F12FF">
            <w:pPr>
              <w:autoSpaceDE w:val="0"/>
              <w:autoSpaceDN w:val="0"/>
              <w:adjustRightInd w:val="0"/>
              <w:rPr>
                <w:rFonts w:ascii="Arial" w:hAnsi="Arial" w:cs="Arial"/>
                <w:szCs w:val="20"/>
              </w:rPr>
            </w:pPr>
          </w:p>
          <w:p w14:paraId="0143BDFD" w14:textId="77777777" w:rsidR="00E475B3" w:rsidRPr="00DE1573" w:rsidRDefault="00E475B3" w:rsidP="007F12FF">
            <w:pPr>
              <w:autoSpaceDE w:val="0"/>
              <w:autoSpaceDN w:val="0"/>
              <w:adjustRightInd w:val="0"/>
              <w:rPr>
                <w:rFonts w:ascii="Arial" w:hAnsi="Arial" w:cs="Arial"/>
              </w:rPr>
            </w:pPr>
            <w:r w:rsidRPr="00DE1573">
              <w:rPr>
                <w:rFonts w:ascii="Arial" w:hAnsi="Arial" w:cs="Arial"/>
              </w:rPr>
              <w:t>Some of the PAHs that were tested for and detected are listed below.  These results are from DoD testing from January through April 2007.</w:t>
            </w:r>
          </w:p>
          <w:p w14:paraId="1EDC3AC6" w14:textId="77777777" w:rsidR="00E475B3" w:rsidRPr="00DE1573" w:rsidRDefault="00E475B3" w:rsidP="007F12FF">
            <w:pPr>
              <w:autoSpaceDE w:val="0"/>
              <w:autoSpaceDN w:val="0"/>
              <w:adjustRightInd w:val="0"/>
              <w:rPr>
                <w:rFonts w:ascii="Arial" w:hAnsi="Arial" w:cs="Arial"/>
              </w:rPr>
            </w:pPr>
          </w:p>
          <w:p w14:paraId="01C789B0" w14:textId="77777777" w:rsidR="00E475B3" w:rsidRPr="00DE1573" w:rsidRDefault="00E475B3" w:rsidP="007F12FF">
            <w:pPr>
              <w:ind w:left="720"/>
              <w:rPr>
                <w:rFonts w:ascii="Arial" w:hAnsi="Arial" w:cs="Arial"/>
                <w:szCs w:val="20"/>
                <w:lang w:val="it-IT"/>
              </w:rPr>
            </w:pPr>
            <w:r w:rsidRPr="00DE1573">
              <w:rPr>
                <w:rFonts w:ascii="Arial" w:hAnsi="Arial" w:cs="Arial"/>
                <w:szCs w:val="20"/>
                <w:lang w:val="it-IT"/>
              </w:rPr>
              <w:t>Acenaphthene</w:t>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t>Acenaphthylene</w:t>
            </w:r>
          </w:p>
          <w:p w14:paraId="5EF9D60D" w14:textId="77777777" w:rsidR="00E475B3" w:rsidRPr="00DE1573" w:rsidRDefault="00E475B3" w:rsidP="007F12FF">
            <w:pPr>
              <w:ind w:left="720"/>
              <w:rPr>
                <w:rFonts w:ascii="Arial" w:hAnsi="Arial" w:cs="Arial"/>
                <w:szCs w:val="20"/>
                <w:lang w:val="it-IT"/>
              </w:rPr>
            </w:pPr>
            <w:r w:rsidRPr="00DE1573">
              <w:rPr>
                <w:rFonts w:ascii="Arial" w:hAnsi="Arial" w:cs="Arial"/>
                <w:szCs w:val="20"/>
                <w:lang w:val="it-IT"/>
              </w:rPr>
              <w:lastRenderedPageBreak/>
              <w:t>Anthracene</w:t>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t>Benzo(a)anthracene</w:t>
            </w:r>
          </w:p>
          <w:p w14:paraId="3195A042" w14:textId="77777777" w:rsidR="00E475B3" w:rsidRPr="00DE1573" w:rsidRDefault="00E475B3" w:rsidP="007F12FF">
            <w:pPr>
              <w:ind w:left="720"/>
              <w:rPr>
                <w:rFonts w:ascii="Arial" w:hAnsi="Arial" w:cs="Arial"/>
                <w:szCs w:val="20"/>
                <w:lang w:val="it-IT"/>
              </w:rPr>
            </w:pPr>
            <w:r w:rsidRPr="00DE1573">
              <w:rPr>
                <w:rFonts w:ascii="Arial" w:hAnsi="Arial" w:cs="Arial"/>
                <w:szCs w:val="20"/>
                <w:lang w:val="it-IT"/>
              </w:rPr>
              <w:t>Benzo(a)pyrene</w:t>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t>Benzo(b)fluoroanthene</w:t>
            </w:r>
          </w:p>
          <w:p w14:paraId="5431C982" w14:textId="77777777" w:rsidR="00E475B3" w:rsidRPr="00DE1573" w:rsidRDefault="00E475B3" w:rsidP="007F12FF">
            <w:pPr>
              <w:ind w:left="720"/>
              <w:rPr>
                <w:rFonts w:ascii="Arial" w:hAnsi="Arial" w:cs="Arial"/>
                <w:szCs w:val="20"/>
                <w:lang w:val="it-IT"/>
              </w:rPr>
            </w:pPr>
            <w:r w:rsidRPr="00DE1573">
              <w:rPr>
                <w:rFonts w:ascii="Arial" w:hAnsi="Arial" w:cs="Arial"/>
                <w:szCs w:val="20"/>
                <w:lang w:val="it-IT"/>
              </w:rPr>
              <w:t>Benzo(b)fluoroanthene</w:t>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t>Benzo(g,h,i)perylene</w:t>
            </w:r>
          </w:p>
          <w:p w14:paraId="150C6FA6" w14:textId="77777777" w:rsidR="00E475B3" w:rsidRPr="00DE1573" w:rsidRDefault="00E475B3" w:rsidP="007F12FF">
            <w:pPr>
              <w:ind w:left="720"/>
              <w:rPr>
                <w:rFonts w:ascii="Arial" w:hAnsi="Arial" w:cs="Arial"/>
                <w:szCs w:val="20"/>
                <w:lang w:val="it-IT"/>
              </w:rPr>
            </w:pPr>
            <w:r w:rsidRPr="00DE1573">
              <w:rPr>
                <w:rFonts w:ascii="Arial" w:hAnsi="Arial" w:cs="Arial"/>
                <w:szCs w:val="20"/>
                <w:lang w:val="it-IT"/>
              </w:rPr>
              <w:t>Benzo(k)fluoroanthene</w:t>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t>Chrysene</w:t>
            </w:r>
          </w:p>
          <w:p w14:paraId="1923EA9B" w14:textId="77777777" w:rsidR="00E475B3" w:rsidRPr="00DE1573" w:rsidRDefault="00E475B3" w:rsidP="007F12FF">
            <w:pPr>
              <w:ind w:left="720"/>
              <w:rPr>
                <w:rFonts w:ascii="Arial" w:hAnsi="Arial" w:cs="Arial"/>
                <w:szCs w:val="20"/>
                <w:lang w:val="it-IT"/>
              </w:rPr>
            </w:pPr>
            <w:r w:rsidRPr="00DE1573">
              <w:rPr>
                <w:rFonts w:ascii="Arial" w:hAnsi="Arial" w:cs="Arial"/>
                <w:szCs w:val="20"/>
                <w:lang w:val="it-IT"/>
              </w:rPr>
              <w:t>Dibenz(a,h)anthracene</w:t>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t>Fluoranthene</w:t>
            </w:r>
          </w:p>
          <w:p w14:paraId="11EBF1BC" w14:textId="77777777" w:rsidR="00E475B3" w:rsidRPr="00DE1573" w:rsidRDefault="00E475B3" w:rsidP="007F12FF">
            <w:pPr>
              <w:ind w:left="720"/>
              <w:rPr>
                <w:rFonts w:ascii="Arial" w:hAnsi="Arial" w:cs="Arial"/>
                <w:szCs w:val="20"/>
                <w:lang w:val="it-IT"/>
              </w:rPr>
            </w:pPr>
            <w:r w:rsidRPr="00DE1573">
              <w:rPr>
                <w:rFonts w:ascii="Arial" w:hAnsi="Arial" w:cs="Arial"/>
                <w:szCs w:val="20"/>
                <w:lang w:val="it-IT"/>
              </w:rPr>
              <w:t>Fluorene</w:t>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r>
            <w:r w:rsidRPr="00DE1573">
              <w:rPr>
                <w:rFonts w:ascii="Arial" w:hAnsi="Arial" w:cs="Arial"/>
                <w:szCs w:val="20"/>
                <w:lang w:val="it-IT"/>
              </w:rPr>
              <w:tab/>
              <w:t>Indeno(1,2,3-cd)pyrene</w:t>
            </w:r>
          </w:p>
          <w:p w14:paraId="23A58055" w14:textId="77777777" w:rsidR="00E475B3" w:rsidRPr="00DE1573" w:rsidRDefault="00E475B3" w:rsidP="007F12FF">
            <w:pPr>
              <w:ind w:left="720"/>
              <w:rPr>
                <w:rFonts w:ascii="Arial" w:hAnsi="Arial" w:cs="Arial"/>
                <w:szCs w:val="20"/>
              </w:rPr>
            </w:pPr>
            <w:r w:rsidRPr="00DE1573">
              <w:rPr>
                <w:rFonts w:ascii="Arial" w:hAnsi="Arial" w:cs="Arial"/>
                <w:szCs w:val="20"/>
              </w:rPr>
              <w:t>Naphthalene</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proofErr w:type="spellStart"/>
            <w:r w:rsidRPr="00DE1573">
              <w:rPr>
                <w:rFonts w:ascii="Arial" w:hAnsi="Arial" w:cs="Arial"/>
                <w:szCs w:val="20"/>
              </w:rPr>
              <w:t>Phenanthrene</w:t>
            </w:r>
            <w:proofErr w:type="spellEnd"/>
          </w:p>
          <w:p w14:paraId="1F38F7DA" w14:textId="77777777" w:rsidR="00E475B3" w:rsidRPr="00DE1573" w:rsidRDefault="00E475B3" w:rsidP="007F12FF">
            <w:pPr>
              <w:ind w:left="720"/>
              <w:rPr>
                <w:rFonts w:ascii="Arial" w:hAnsi="Arial" w:cs="Arial"/>
                <w:szCs w:val="20"/>
              </w:rPr>
            </w:pPr>
            <w:r w:rsidRPr="00DE1573">
              <w:rPr>
                <w:rFonts w:ascii="Arial" w:hAnsi="Arial" w:cs="Arial"/>
                <w:szCs w:val="20"/>
              </w:rPr>
              <w:t>Pyrene</w:t>
            </w:r>
          </w:p>
          <w:p w14:paraId="678917CC" w14:textId="77777777" w:rsidR="00E475B3" w:rsidRPr="00DE1573" w:rsidRDefault="00E475B3" w:rsidP="007F12FF">
            <w:pPr>
              <w:pStyle w:val="Header"/>
              <w:autoSpaceDE w:val="0"/>
              <w:autoSpaceDN w:val="0"/>
              <w:adjustRightInd w:val="0"/>
              <w:rPr>
                <w:rFonts w:ascii="Arial" w:hAnsi="Arial" w:cs="Arial"/>
              </w:rPr>
            </w:pPr>
          </w:p>
          <w:p w14:paraId="1162D064" w14:textId="77777777" w:rsidR="00E475B3" w:rsidRPr="00DE1573" w:rsidRDefault="00E475B3" w:rsidP="007F12FF">
            <w:pPr>
              <w:pStyle w:val="Header"/>
              <w:autoSpaceDE w:val="0"/>
              <w:autoSpaceDN w:val="0"/>
              <w:adjustRightInd w:val="0"/>
            </w:pPr>
            <w:r w:rsidRPr="00DE1573">
              <w:rPr>
                <w:rFonts w:ascii="Arial" w:hAnsi="Arial" w:cs="Arial"/>
              </w:rPr>
              <w:t xml:space="preserve">The following list reveals some of the VOCs that were tested for and detected at </w:t>
            </w:r>
            <w:proofErr w:type="spellStart"/>
            <w:r w:rsidRPr="00DE1573">
              <w:rPr>
                <w:rFonts w:ascii="Arial" w:hAnsi="Arial" w:cs="Arial"/>
              </w:rPr>
              <w:t>Balad</w:t>
            </w:r>
            <w:proofErr w:type="spellEnd"/>
            <w:r w:rsidRPr="00DE1573">
              <w:rPr>
                <w:rFonts w:ascii="Arial" w:hAnsi="Arial" w:cs="Arial"/>
              </w:rPr>
              <w:t>.  These results are from DoD testing from January through April 2007</w:t>
            </w:r>
            <w:r w:rsidRPr="00DE1573">
              <w:t>.</w:t>
            </w:r>
          </w:p>
          <w:p w14:paraId="16E159A8" w14:textId="77777777" w:rsidR="00E475B3" w:rsidRPr="00DE1573" w:rsidRDefault="00E475B3" w:rsidP="007F12FF">
            <w:pPr>
              <w:pStyle w:val="Header"/>
              <w:autoSpaceDE w:val="0"/>
              <w:autoSpaceDN w:val="0"/>
              <w:adjustRightInd w:val="0"/>
            </w:pPr>
          </w:p>
          <w:p w14:paraId="5E3946E4" w14:textId="77777777" w:rsidR="00E475B3" w:rsidRPr="00DE1573" w:rsidRDefault="00E475B3" w:rsidP="007F12FF">
            <w:pPr>
              <w:ind w:left="720"/>
              <w:rPr>
                <w:rFonts w:ascii="Arial" w:hAnsi="Arial" w:cs="Arial"/>
                <w:szCs w:val="20"/>
              </w:rPr>
            </w:pPr>
            <w:r w:rsidRPr="00DE1573">
              <w:rPr>
                <w:rFonts w:ascii="Arial" w:hAnsi="Arial" w:cs="Arial"/>
                <w:szCs w:val="20"/>
              </w:rPr>
              <w:t>Acetone</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proofErr w:type="spellStart"/>
            <w:r w:rsidRPr="00DE1573">
              <w:rPr>
                <w:rFonts w:ascii="Arial" w:hAnsi="Arial" w:cs="Arial"/>
                <w:szCs w:val="20"/>
              </w:rPr>
              <w:t>Acrolein</w:t>
            </w:r>
            <w:proofErr w:type="spellEnd"/>
            <w:r w:rsidRPr="00DE1573">
              <w:rPr>
                <w:rFonts w:ascii="Arial" w:hAnsi="Arial" w:cs="Arial"/>
                <w:szCs w:val="20"/>
              </w:rPr>
              <w:t>*</w:t>
            </w:r>
          </w:p>
          <w:p w14:paraId="56616FE5" w14:textId="77777777" w:rsidR="00E475B3" w:rsidRPr="00DE1573" w:rsidRDefault="00E475B3" w:rsidP="007F12FF">
            <w:pPr>
              <w:ind w:left="720"/>
              <w:rPr>
                <w:rFonts w:ascii="Arial" w:hAnsi="Arial" w:cs="Arial"/>
                <w:szCs w:val="20"/>
              </w:rPr>
            </w:pPr>
            <w:r w:rsidRPr="00DE1573">
              <w:rPr>
                <w:rFonts w:ascii="Arial" w:hAnsi="Arial" w:cs="Arial"/>
                <w:szCs w:val="20"/>
              </w:rPr>
              <w:t>Benzene</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Carbon Disulfide</w:t>
            </w:r>
          </w:p>
          <w:p w14:paraId="730E8093" w14:textId="77777777" w:rsidR="00E475B3" w:rsidRPr="00DE1573" w:rsidRDefault="00E475B3" w:rsidP="007F12FF">
            <w:pPr>
              <w:ind w:left="720"/>
              <w:rPr>
                <w:rFonts w:ascii="Arial" w:hAnsi="Arial" w:cs="Arial"/>
                <w:szCs w:val="20"/>
              </w:rPr>
            </w:pPr>
            <w:proofErr w:type="spellStart"/>
            <w:r w:rsidRPr="00DE1573">
              <w:rPr>
                <w:rFonts w:ascii="Arial" w:hAnsi="Arial" w:cs="Arial"/>
                <w:szCs w:val="20"/>
              </w:rPr>
              <w:t>Chlorodifluoromethane</w:t>
            </w:r>
            <w:proofErr w:type="spellEnd"/>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Chloromethane</w:t>
            </w:r>
          </w:p>
          <w:p w14:paraId="0E67862F" w14:textId="77777777" w:rsidR="00E475B3" w:rsidRPr="00DE1573" w:rsidRDefault="00E475B3" w:rsidP="007F12FF">
            <w:pPr>
              <w:ind w:left="720"/>
              <w:rPr>
                <w:rFonts w:ascii="Arial" w:hAnsi="Arial" w:cs="Arial"/>
                <w:szCs w:val="20"/>
              </w:rPr>
            </w:pPr>
            <w:r w:rsidRPr="00DE1573">
              <w:rPr>
                <w:rFonts w:ascii="Arial" w:hAnsi="Arial" w:cs="Arial"/>
                <w:szCs w:val="20"/>
              </w:rPr>
              <w:t>Ethylbenzene</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Hexane</w:t>
            </w:r>
          </w:p>
          <w:p w14:paraId="34937970" w14:textId="77777777" w:rsidR="00E475B3" w:rsidRPr="00DE1573" w:rsidRDefault="00E475B3" w:rsidP="007F12FF">
            <w:pPr>
              <w:ind w:left="720"/>
              <w:rPr>
                <w:rFonts w:ascii="Arial" w:hAnsi="Arial" w:cs="Arial"/>
                <w:szCs w:val="20"/>
              </w:rPr>
            </w:pPr>
            <w:proofErr w:type="spellStart"/>
            <w:r w:rsidRPr="00DE1573">
              <w:rPr>
                <w:rFonts w:ascii="Arial" w:hAnsi="Arial" w:cs="Arial"/>
                <w:szCs w:val="20"/>
              </w:rPr>
              <w:t>Hexachlorobutadiene</w:t>
            </w:r>
            <w:proofErr w:type="spellEnd"/>
            <w:r w:rsidRPr="00DE1573">
              <w:rPr>
                <w:rFonts w:ascii="Arial" w:hAnsi="Arial" w:cs="Arial"/>
                <w:szCs w:val="20"/>
              </w:rPr>
              <w:t>*</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m/p-Xylene</w:t>
            </w:r>
          </w:p>
          <w:p w14:paraId="18A698A7" w14:textId="77777777" w:rsidR="00E475B3" w:rsidRPr="00DE1573" w:rsidRDefault="00E475B3" w:rsidP="007F12FF">
            <w:pPr>
              <w:ind w:left="720"/>
              <w:rPr>
                <w:rFonts w:ascii="Arial" w:hAnsi="Arial" w:cs="Arial"/>
                <w:szCs w:val="20"/>
                <w:lang w:val="nb-NO"/>
              </w:rPr>
            </w:pPr>
            <w:r w:rsidRPr="00DE1573">
              <w:rPr>
                <w:rFonts w:ascii="Arial" w:hAnsi="Arial" w:cs="Arial"/>
                <w:szCs w:val="20"/>
                <w:lang w:val="nb-NO"/>
              </w:rPr>
              <w:t>Methylene Chloride</w:t>
            </w:r>
            <w:r w:rsidRPr="00DE1573">
              <w:rPr>
                <w:rFonts w:ascii="Arial" w:hAnsi="Arial" w:cs="Arial"/>
                <w:szCs w:val="20"/>
                <w:lang w:val="nb-NO"/>
              </w:rPr>
              <w:tab/>
            </w:r>
            <w:r w:rsidRPr="00DE1573">
              <w:rPr>
                <w:rFonts w:ascii="Arial" w:hAnsi="Arial" w:cs="Arial"/>
                <w:szCs w:val="20"/>
                <w:lang w:val="nb-NO"/>
              </w:rPr>
              <w:tab/>
            </w:r>
            <w:r w:rsidRPr="00DE1573">
              <w:rPr>
                <w:rFonts w:ascii="Arial" w:hAnsi="Arial" w:cs="Arial"/>
                <w:szCs w:val="20"/>
                <w:lang w:val="nb-NO"/>
              </w:rPr>
              <w:tab/>
            </w:r>
            <w:r w:rsidRPr="00DE1573">
              <w:rPr>
                <w:rFonts w:ascii="Arial" w:hAnsi="Arial" w:cs="Arial"/>
                <w:szCs w:val="20"/>
                <w:lang w:val="nb-NO"/>
              </w:rPr>
              <w:tab/>
            </w:r>
            <w:r w:rsidRPr="00DE1573">
              <w:rPr>
                <w:rFonts w:ascii="Arial" w:hAnsi="Arial" w:cs="Arial"/>
                <w:szCs w:val="20"/>
                <w:lang w:val="nb-NO"/>
              </w:rPr>
              <w:tab/>
              <w:t>Pentane</w:t>
            </w:r>
          </w:p>
          <w:p w14:paraId="4A3B05C6" w14:textId="77777777" w:rsidR="00E475B3" w:rsidRPr="00DE1573" w:rsidRDefault="00E475B3" w:rsidP="007F12FF">
            <w:pPr>
              <w:ind w:left="720"/>
              <w:rPr>
                <w:rFonts w:ascii="Arial" w:hAnsi="Arial" w:cs="Arial"/>
                <w:szCs w:val="20"/>
                <w:lang w:val="nb-NO"/>
              </w:rPr>
            </w:pPr>
            <w:r w:rsidRPr="00DE1573">
              <w:rPr>
                <w:rFonts w:ascii="Arial" w:hAnsi="Arial" w:cs="Arial"/>
                <w:szCs w:val="20"/>
                <w:lang w:val="nb-NO"/>
              </w:rPr>
              <w:t>Propylene</w:t>
            </w:r>
            <w:r w:rsidRPr="00DE1573">
              <w:rPr>
                <w:rFonts w:ascii="Arial" w:hAnsi="Arial" w:cs="Arial"/>
                <w:szCs w:val="20"/>
                <w:lang w:val="nb-NO"/>
              </w:rPr>
              <w:tab/>
            </w:r>
            <w:r w:rsidRPr="00DE1573">
              <w:rPr>
                <w:rFonts w:ascii="Arial" w:hAnsi="Arial" w:cs="Arial"/>
                <w:szCs w:val="20"/>
                <w:lang w:val="nb-NO"/>
              </w:rPr>
              <w:tab/>
            </w:r>
            <w:r w:rsidRPr="00DE1573">
              <w:rPr>
                <w:rFonts w:ascii="Arial" w:hAnsi="Arial" w:cs="Arial"/>
                <w:szCs w:val="20"/>
                <w:lang w:val="nb-NO"/>
              </w:rPr>
              <w:tab/>
            </w:r>
            <w:r w:rsidRPr="00DE1573">
              <w:rPr>
                <w:rFonts w:ascii="Arial" w:hAnsi="Arial" w:cs="Arial"/>
                <w:szCs w:val="20"/>
                <w:lang w:val="nb-NO"/>
              </w:rPr>
              <w:tab/>
            </w:r>
            <w:r w:rsidRPr="00DE1573">
              <w:rPr>
                <w:rFonts w:ascii="Arial" w:hAnsi="Arial" w:cs="Arial"/>
                <w:szCs w:val="20"/>
                <w:lang w:val="nb-NO"/>
              </w:rPr>
              <w:tab/>
            </w:r>
            <w:r w:rsidRPr="00DE1573">
              <w:rPr>
                <w:rFonts w:ascii="Arial" w:hAnsi="Arial" w:cs="Arial"/>
                <w:szCs w:val="20"/>
                <w:lang w:val="nb-NO"/>
              </w:rPr>
              <w:tab/>
              <w:t>Styrene</w:t>
            </w:r>
          </w:p>
          <w:p w14:paraId="5559653B" w14:textId="77777777" w:rsidR="00E475B3" w:rsidRPr="00DE1573" w:rsidRDefault="00E475B3" w:rsidP="007F12FF">
            <w:pPr>
              <w:ind w:left="720"/>
              <w:rPr>
                <w:rFonts w:ascii="Arial" w:hAnsi="Arial" w:cs="Arial"/>
                <w:szCs w:val="20"/>
                <w:lang w:val="nb-NO"/>
              </w:rPr>
            </w:pPr>
            <w:r w:rsidRPr="00DE1573">
              <w:rPr>
                <w:rFonts w:ascii="Arial" w:hAnsi="Arial" w:cs="Arial"/>
                <w:szCs w:val="20"/>
                <w:lang w:val="nb-NO"/>
              </w:rPr>
              <w:t>Toluene</w:t>
            </w:r>
          </w:p>
          <w:p w14:paraId="618D5C47" w14:textId="77777777" w:rsidR="00E475B3" w:rsidRPr="00DE1573" w:rsidRDefault="00E475B3" w:rsidP="007F12FF">
            <w:pPr>
              <w:pStyle w:val="Header"/>
              <w:autoSpaceDE w:val="0"/>
              <w:autoSpaceDN w:val="0"/>
              <w:adjustRightInd w:val="0"/>
              <w:rPr>
                <w:lang w:val="nb-NO"/>
              </w:rPr>
            </w:pPr>
          </w:p>
          <w:p w14:paraId="0719F374" w14:textId="77777777" w:rsidR="00E475B3" w:rsidRPr="00DE1573" w:rsidRDefault="00E475B3" w:rsidP="007F12FF">
            <w:pPr>
              <w:pStyle w:val="Header"/>
              <w:autoSpaceDE w:val="0"/>
              <w:autoSpaceDN w:val="0"/>
              <w:adjustRightInd w:val="0"/>
              <w:rPr>
                <w:rFonts w:ascii="Arial" w:hAnsi="Arial" w:cs="Arial"/>
              </w:rPr>
            </w:pPr>
            <w:r w:rsidRPr="00DE1573">
              <w:rPr>
                <w:rFonts w:ascii="Arial" w:hAnsi="Arial" w:cs="Arial"/>
              </w:rPr>
              <w:t xml:space="preserve">* </w:t>
            </w:r>
            <w:proofErr w:type="spellStart"/>
            <w:r w:rsidRPr="00DE1573">
              <w:rPr>
                <w:rFonts w:ascii="Arial" w:hAnsi="Arial" w:cs="Arial"/>
              </w:rPr>
              <w:t>Acrolein</w:t>
            </w:r>
            <w:proofErr w:type="spellEnd"/>
            <w:r w:rsidRPr="00DE1573">
              <w:rPr>
                <w:rFonts w:ascii="Arial" w:hAnsi="Arial" w:cs="Arial"/>
              </w:rPr>
              <w:t xml:space="preserve"> and </w:t>
            </w:r>
            <w:proofErr w:type="spellStart"/>
            <w:r w:rsidRPr="00DE1573">
              <w:rPr>
                <w:rFonts w:ascii="Arial" w:hAnsi="Arial" w:cs="Arial"/>
              </w:rPr>
              <w:t>Hexachlorobutadiene</w:t>
            </w:r>
            <w:proofErr w:type="spellEnd"/>
            <w:r w:rsidRPr="00DE1573">
              <w:rPr>
                <w:rFonts w:ascii="Arial" w:hAnsi="Arial" w:cs="Arial"/>
              </w:rPr>
              <w:t xml:space="preserve"> were, although </w:t>
            </w:r>
            <w:proofErr w:type="spellStart"/>
            <w:proofErr w:type="gramStart"/>
            <w:r w:rsidRPr="00DE1573">
              <w:rPr>
                <w:rFonts w:ascii="Arial" w:hAnsi="Arial" w:cs="Arial"/>
              </w:rPr>
              <w:t>seldomly</w:t>
            </w:r>
            <w:proofErr w:type="spellEnd"/>
            <w:r w:rsidRPr="00DE1573">
              <w:rPr>
                <w:rFonts w:ascii="Arial" w:hAnsi="Arial" w:cs="Arial"/>
              </w:rPr>
              <w:t>,</w:t>
            </w:r>
            <w:proofErr w:type="gramEnd"/>
            <w:r w:rsidRPr="00DE1573">
              <w:rPr>
                <w:rFonts w:ascii="Arial" w:hAnsi="Arial" w:cs="Arial"/>
              </w:rPr>
              <w:t xml:space="preserve"> detected far above the MEG ratio—once over 1800 percent above the MEG for </w:t>
            </w:r>
            <w:proofErr w:type="spellStart"/>
            <w:r w:rsidRPr="00DE1573">
              <w:rPr>
                <w:rFonts w:ascii="Arial" w:hAnsi="Arial" w:cs="Arial"/>
              </w:rPr>
              <w:t>Acrolein</w:t>
            </w:r>
            <w:proofErr w:type="spellEnd"/>
            <w:r w:rsidRPr="00DE1573">
              <w:rPr>
                <w:rFonts w:ascii="Arial" w:hAnsi="Arial" w:cs="Arial"/>
              </w:rPr>
              <w:t xml:space="preserve"> and over 500 percent above the MEG for </w:t>
            </w:r>
            <w:proofErr w:type="spellStart"/>
            <w:r w:rsidRPr="00DE1573">
              <w:rPr>
                <w:rFonts w:ascii="Arial" w:hAnsi="Arial" w:cs="Arial"/>
              </w:rPr>
              <w:t>Hexachlorobutadiene</w:t>
            </w:r>
            <w:proofErr w:type="spellEnd"/>
            <w:r w:rsidRPr="00DE1573">
              <w:rPr>
                <w:rFonts w:ascii="Arial" w:hAnsi="Arial" w:cs="Arial"/>
              </w:rPr>
              <w:t>.</w:t>
            </w:r>
          </w:p>
          <w:p w14:paraId="099D4C96" w14:textId="77777777" w:rsidR="00E475B3" w:rsidRPr="00DE1573" w:rsidRDefault="00E475B3" w:rsidP="007F12FF">
            <w:pPr>
              <w:pStyle w:val="Header"/>
              <w:autoSpaceDE w:val="0"/>
              <w:autoSpaceDN w:val="0"/>
              <w:adjustRightInd w:val="0"/>
              <w:rPr>
                <w:rFonts w:ascii="Arial" w:hAnsi="Arial" w:cs="Arial"/>
              </w:rPr>
            </w:pPr>
          </w:p>
          <w:p w14:paraId="728FC6BE" w14:textId="77777777" w:rsidR="00E475B3" w:rsidRPr="00DE1573" w:rsidRDefault="00E475B3" w:rsidP="007F12FF">
            <w:pPr>
              <w:pStyle w:val="Header"/>
              <w:autoSpaceDE w:val="0"/>
              <w:autoSpaceDN w:val="0"/>
              <w:adjustRightInd w:val="0"/>
              <w:rPr>
                <w:rFonts w:ascii="Arial" w:eastAsia="Calibri" w:hAnsi="Arial" w:cs="Arial"/>
                <w:szCs w:val="22"/>
              </w:rPr>
            </w:pPr>
            <w:r w:rsidRPr="00DE1573">
              <w:rPr>
                <w:rFonts w:ascii="Arial" w:eastAsia="Calibri" w:hAnsi="Arial" w:cs="Arial"/>
                <w:szCs w:val="22"/>
              </w:rPr>
              <w:t>Below is a list of the dioxins and furans detected, all reportedly at low doses.</w:t>
            </w:r>
          </w:p>
          <w:p w14:paraId="10C86654" w14:textId="77777777" w:rsidR="00E475B3" w:rsidRPr="00DE1573" w:rsidRDefault="00E475B3" w:rsidP="007F12FF">
            <w:pPr>
              <w:pStyle w:val="Header"/>
              <w:autoSpaceDE w:val="0"/>
              <w:autoSpaceDN w:val="0"/>
              <w:adjustRightInd w:val="0"/>
              <w:rPr>
                <w:rFonts w:ascii="Arial" w:eastAsia="Calibri" w:hAnsi="Arial" w:cs="Arial"/>
                <w:szCs w:val="22"/>
              </w:rPr>
            </w:pPr>
          </w:p>
          <w:p w14:paraId="730A6F5E" w14:textId="77777777" w:rsidR="00E475B3" w:rsidRPr="00DE1573" w:rsidRDefault="00E475B3" w:rsidP="007F12FF">
            <w:pPr>
              <w:pStyle w:val="Header"/>
            </w:pPr>
            <w:r w:rsidRPr="00DE1573">
              <w:rPr>
                <w:rFonts w:ascii="Arial" w:hAnsi="Arial" w:cs="Arial"/>
              </w:rPr>
              <w:t>1,2,3,4,6,7,8 HPCDD</w:t>
            </w:r>
            <w:r w:rsidRPr="00DE1573">
              <w:tab/>
            </w:r>
            <w:r w:rsidRPr="00DE1573">
              <w:tab/>
            </w:r>
            <w:r w:rsidRPr="00DE1573">
              <w:tab/>
            </w:r>
            <w:r w:rsidRPr="00DE1573">
              <w:tab/>
            </w:r>
            <w:r w:rsidRPr="00DE1573">
              <w:tab/>
              <w:t>1,2,3,4,6,7,8 HPCDF</w:t>
            </w:r>
          </w:p>
          <w:p w14:paraId="725F5498" w14:textId="77777777" w:rsidR="00E475B3" w:rsidRPr="00DE1573" w:rsidRDefault="00E475B3" w:rsidP="007F12FF">
            <w:pPr>
              <w:rPr>
                <w:rFonts w:ascii="Arial" w:hAnsi="Arial" w:cs="Arial"/>
                <w:szCs w:val="20"/>
              </w:rPr>
            </w:pPr>
            <w:r w:rsidRPr="00DE1573">
              <w:rPr>
                <w:rFonts w:ascii="Arial" w:hAnsi="Arial" w:cs="Arial"/>
                <w:szCs w:val="20"/>
              </w:rPr>
              <w:t>1,2,3,4,7,8,9 HPCDF</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1,2,3,4,7,8 HXCDD</w:t>
            </w:r>
          </w:p>
          <w:p w14:paraId="4E3D3731" w14:textId="77777777" w:rsidR="00E475B3" w:rsidRPr="00DE1573" w:rsidRDefault="00E475B3" w:rsidP="007F12FF">
            <w:pPr>
              <w:rPr>
                <w:rFonts w:ascii="Arial" w:hAnsi="Arial" w:cs="Arial"/>
                <w:szCs w:val="20"/>
              </w:rPr>
            </w:pPr>
            <w:r w:rsidRPr="00DE1573">
              <w:rPr>
                <w:rFonts w:ascii="Arial" w:hAnsi="Arial" w:cs="Arial"/>
                <w:szCs w:val="20"/>
              </w:rPr>
              <w:t>1,2,3,4,7,8 HXCDF</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1,2,3,6,7,8 HXCDD</w:t>
            </w:r>
          </w:p>
          <w:p w14:paraId="1D7B22E7" w14:textId="77777777" w:rsidR="00E475B3" w:rsidRPr="00DE1573" w:rsidRDefault="00E475B3" w:rsidP="007F12FF">
            <w:pPr>
              <w:rPr>
                <w:rFonts w:ascii="Arial" w:hAnsi="Arial" w:cs="Arial"/>
                <w:szCs w:val="20"/>
              </w:rPr>
            </w:pPr>
            <w:r w:rsidRPr="00DE1573">
              <w:rPr>
                <w:rFonts w:ascii="Arial" w:hAnsi="Arial" w:cs="Arial"/>
                <w:szCs w:val="20"/>
              </w:rPr>
              <w:t>1,2,3,6,7,8 HXCDF</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1,2,3,7,8,9 HXCDD</w:t>
            </w:r>
          </w:p>
          <w:p w14:paraId="17F6B211" w14:textId="77777777" w:rsidR="00E475B3" w:rsidRPr="00DE1573" w:rsidRDefault="00E475B3" w:rsidP="007F12FF">
            <w:pPr>
              <w:rPr>
                <w:rFonts w:ascii="Arial" w:hAnsi="Arial" w:cs="Arial"/>
                <w:szCs w:val="20"/>
              </w:rPr>
            </w:pPr>
            <w:r w:rsidRPr="00DE1573">
              <w:rPr>
                <w:rFonts w:ascii="Arial" w:hAnsi="Arial" w:cs="Arial"/>
                <w:szCs w:val="20"/>
              </w:rPr>
              <w:t>1,2,3,7,8,9 HXCDF</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1,2,3,7,8 PECDD</w:t>
            </w:r>
          </w:p>
          <w:p w14:paraId="6E19E7DA" w14:textId="77777777" w:rsidR="00E475B3" w:rsidRPr="00DE1573" w:rsidRDefault="00E475B3" w:rsidP="007F12FF">
            <w:pPr>
              <w:rPr>
                <w:rFonts w:ascii="Arial" w:hAnsi="Arial" w:cs="Arial"/>
                <w:szCs w:val="20"/>
              </w:rPr>
            </w:pPr>
            <w:r w:rsidRPr="00DE1573">
              <w:rPr>
                <w:rFonts w:ascii="Arial" w:hAnsi="Arial" w:cs="Arial"/>
                <w:szCs w:val="20"/>
              </w:rPr>
              <w:t>1,2,3,7,8 PECDF</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2,3,4,6,7,8 HXCDF</w:t>
            </w:r>
          </w:p>
          <w:p w14:paraId="72E08071" w14:textId="77777777" w:rsidR="00E475B3" w:rsidRPr="00DE1573" w:rsidRDefault="00E475B3" w:rsidP="007F12FF">
            <w:pPr>
              <w:rPr>
                <w:rFonts w:ascii="Arial" w:hAnsi="Arial" w:cs="Arial"/>
                <w:i/>
                <w:iCs/>
                <w:szCs w:val="20"/>
              </w:rPr>
            </w:pPr>
            <w:r w:rsidRPr="00DE1573">
              <w:rPr>
                <w:rFonts w:ascii="Arial" w:hAnsi="Arial" w:cs="Arial"/>
                <w:szCs w:val="20"/>
              </w:rPr>
              <w:t>2,3,4,7,8 PECDF</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t>2,3,7,8 TCDD</w:t>
            </w:r>
          </w:p>
          <w:p w14:paraId="29AC5E9F" w14:textId="77777777" w:rsidR="00E475B3" w:rsidRPr="00DE1573" w:rsidRDefault="00E475B3" w:rsidP="007F12FF">
            <w:pPr>
              <w:pStyle w:val="Header"/>
              <w:rPr>
                <w:rFonts w:ascii="Arial" w:hAnsi="Arial" w:cs="Arial"/>
                <w:szCs w:val="20"/>
              </w:rPr>
            </w:pPr>
            <w:r w:rsidRPr="00DE1573">
              <w:rPr>
                <w:rFonts w:ascii="Arial" w:hAnsi="Arial" w:cs="Arial"/>
                <w:szCs w:val="20"/>
              </w:rPr>
              <w:t>2,3,7,8 TCDF</w:t>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r w:rsidRPr="00DE1573">
              <w:rPr>
                <w:rFonts w:ascii="Arial" w:hAnsi="Arial" w:cs="Arial"/>
                <w:szCs w:val="20"/>
              </w:rPr>
              <w:tab/>
            </w:r>
            <w:proofErr w:type="spellStart"/>
            <w:r w:rsidRPr="00DE1573">
              <w:rPr>
                <w:rFonts w:ascii="Arial" w:hAnsi="Arial" w:cs="Arial"/>
                <w:szCs w:val="20"/>
              </w:rPr>
              <w:t>octachlorodibenzodioxin</w:t>
            </w:r>
            <w:proofErr w:type="spellEnd"/>
          </w:p>
          <w:p w14:paraId="54B6BF12" w14:textId="77777777" w:rsidR="00E475B3" w:rsidRPr="00DE1573" w:rsidRDefault="00E475B3" w:rsidP="007F12FF">
            <w:pPr>
              <w:rPr>
                <w:rFonts w:ascii="Arial" w:hAnsi="Arial" w:cs="Arial"/>
              </w:rPr>
            </w:pPr>
            <w:proofErr w:type="spellStart"/>
            <w:r w:rsidRPr="00DE1573">
              <w:rPr>
                <w:rFonts w:ascii="Arial" w:hAnsi="Arial" w:cs="Arial"/>
                <w:szCs w:val="20"/>
              </w:rPr>
              <w:t>octachlorodibenzofuran</w:t>
            </w:r>
            <w:proofErr w:type="spellEnd"/>
          </w:p>
          <w:p w14:paraId="01CCF00E" w14:textId="77777777" w:rsidR="00E475B3" w:rsidRPr="00DE1573" w:rsidRDefault="00E475B3" w:rsidP="007F12FF">
            <w:pPr>
              <w:pStyle w:val="Header"/>
              <w:autoSpaceDE w:val="0"/>
              <w:autoSpaceDN w:val="0"/>
              <w:adjustRightInd w:val="0"/>
              <w:rPr>
                <w:rFonts w:ascii="Arial" w:hAnsi="Arial" w:cs="Arial"/>
              </w:rPr>
            </w:pPr>
          </w:p>
          <w:p w14:paraId="2E220CBF" w14:textId="77777777" w:rsidR="00E475B3" w:rsidRPr="00DE1573" w:rsidRDefault="00E475B3" w:rsidP="007F12FF">
            <w:pPr>
              <w:rPr>
                <w:rFonts w:ascii="Arial" w:hAnsi="Arial" w:cs="Arial"/>
                <w:szCs w:val="20"/>
              </w:rPr>
            </w:pPr>
            <w:r w:rsidRPr="00DE1573">
              <w:rPr>
                <w:rFonts w:ascii="Arial" w:hAnsi="Arial" w:cs="Arial"/>
                <w:szCs w:val="20"/>
              </w:rPr>
              <w:t xml:space="preserve">For examination purposes, 22 of the VORs and </w:t>
            </w:r>
            <w:proofErr w:type="gramStart"/>
            <w:r w:rsidRPr="00DE1573">
              <w:rPr>
                <w:rFonts w:ascii="Arial" w:hAnsi="Arial" w:cs="Arial"/>
                <w:szCs w:val="20"/>
              </w:rPr>
              <w:t>PAHs,</w:t>
            </w:r>
            <w:proofErr w:type="gramEnd"/>
            <w:r w:rsidRPr="00DE1573">
              <w:rPr>
                <w:rFonts w:ascii="Arial" w:hAnsi="Arial" w:cs="Arial"/>
                <w:szCs w:val="20"/>
              </w:rPr>
              <w:t xml:space="preserve"> affect the respiratory system; 20 affect the skin; at least 12 affect the eyes; and others affect the liver, kidneys, central nervous system, cardiovascular system, reproductive system, peripheral nervous system, and GI tract.  In at least seven, dermal exposure can greatly contribute to overall dosage.  Therefore, when considering total potential exposure, please consider the synergistic effect of all combined toxins, primarily through inhalation and dermal exposure, but also through ingestion.  </w:t>
            </w:r>
          </w:p>
          <w:p w14:paraId="6B4FD60D" w14:textId="77777777" w:rsidR="00E475B3" w:rsidRPr="00DE1573" w:rsidRDefault="00E475B3" w:rsidP="007F12FF">
            <w:pPr>
              <w:rPr>
                <w:rFonts w:ascii="Arial" w:hAnsi="Arial" w:cs="Arial"/>
                <w:szCs w:val="20"/>
              </w:rPr>
            </w:pPr>
          </w:p>
          <w:p w14:paraId="70D39952" w14:textId="77777777" w:rsidR="00E475B3" w:rsidRPr="00DE1573" w:rsidRDefault="00E475B3" w:rsidP="007F12FF">
            <w:pPr>
              <w:rPr>
                <w:rFonts w:ascii="Arial" w:hAnsi="Arial" w:cs="Arial"/>
              </w:rPr>
            </w:pPr>
            <w:r w:rsidRPr="00DE1573">
              <w:rPr>
                <w:rFonts w:ascii="Arial" w:hAnsi="Arial" w:cs="Arial"/>
              </w:rPr>
              <w:t xml:space="preserve">This information is not meant to influence examiners rendering opinions concerning the etiology of any particular disability; but rather to ensure that such opinions are fully informed based on all known objective facts.  Therefore, when rendering opinions requested by rating authorities for a disability potentially related to such exposure, please utilize this information objectively and together with the remaining evidence, </w:t>
            </w:r>
            <w:r w:rsidRPr="00DE1573">
              <w:rPr>
                <w:rFonts w:ascii="Arial" w:hAnsi="Arial" w:cs="Arial"/>
              </w:rPr>
              <w:lastRenderedPageBreak/>
              <w:t>including lay evidence, in the Veteran’s record.</w:t>
            </w:r>
          </w:p>
          <w:p w14:paraId="00ADCE83" w14:textId="77777777" w:rsidR="00E475B3" w:rsidRPr="00DE1573" w:rsidRDefault="00E475B3" w:rsidP="007F12FF">
            <w:pPr>
              <w:rPr>
                <w:rFonts w:ascii="Arial" w:hAnsi="Arial" w:cs="Arial"/>
              </w:rPr>
            </w:pPr>
          </w:p>
          <w:p w14:paraId="26D82479" w14:textId="77777777" w:rsidR="00E475B3" w:rsidRPr="00DE1573" w:rsidRDefault="00E475B3" w:rsidP="007F12FF">
            <w:pPr>
              <w:rPr>
                <w:rFonts w:ascii="Arial" w:hAnsi="Arial" w:cs="Arial"/>
              </w:rPr>
            </w:pPr>
          </w:p>
          <w:p w14:paraId="4CFC083B" w14:textId="77777777" w:rsidR="00E475B3" w:rsidRPr="00DE1573" w:rsidRDefault="00E475B3" w:rsidP="007F12FF">
            <w:pPr>
              <w:rPr>
                <w:rFonts w:ascii="Arial" w:hAnsi="Arial" w:cs="Arial"/>
              </w:rPr>
            </w:pP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t>_____________________</w:t>
            </w:r>
          </w:p>
          <w:p w14:paraId="7BD48F57" w14:textId="77777777" w:rsidR="00E475B3" w:rsidRPr="00DE1573" w:rsidRDefault="00E475B3" w:rsidP="007F12FF">
            <w:pPr>
              <w:ind w:left="4320" w:firstLine="720"/>
              <w:jc w:val="center"/>
            </w:pPr>
            <w:r w:rsidRPr="00DE1573">
              <w:rPr>
                <w:rFonts w:ascii="Arial" w:hAnsi="Arial" w:cs="Arial"/>
              </w:rPr>
              <w:t>Adjudication Authority</w:t>
            </w:r>
          </w:p>
          <w:p w14:paraId="248C0547" w14:textId="77777777" w:rsidR="00E475B3" w:rsidRPr="00DE1573" w:rsidRDefault="00E475B3" w:rsidP="007F12FF">
            <w:pPr>
              <w:jc w:val="center"/>
              <w:rPr>
                <w:b/>
                <w:u w:val="single"/>
              </w:rPr>
            </w:pPr>
            <w:r w:rsidRPr="00DE1573">
              <w:br w:type="page"/>
            </w:r>
          </w:p>
        </w:tc>
      </w:tr>
    </w:tbl>
    <w:p w14:paraId="633085BC" w14:textId="681141F2" w:rsidR="00E475B3" w:rsidRPr="00DE1573" w:rsidRDefault="0088121C" w:rsidP="0088121C">
      <w:pPr>
        <w:tabs>
          <w:tab w:val="left" w:pos="9360"/>
        </w:tabs>
        <w:ind w:left="1714"/>
      </w:pPr>
      <w:r w:rsidRPr="00DE1573">
        <w:rPr>
          <w:u w:val="single"/>
        </w:rPr>
        <w:lastRenderedPageBreak/>
        <w:tab/>
      </w:r>
    </w:p>
    <w:p w14:paraId="791BD37A" w14:textId="3B8CE51C" w:rsidR="0088121C" w:rsidRPr="00DE1573" w:rsidRDefault="0088121C" w:rsidP="0088121C">
      <w:pPr>
        <w:ind w:left="1714"/>
      </w:pPr>
    </w:p>
    <w:p w14:paraId="273E2B54" w14:textId="77777777" w:rsidR="0088121C" w:rsidRPr="00DE1573" w:rsidRDefault="0088121C" w:rsidP="0088121C"/>
    <w:p w14:paraId="455D186D" w14:textId="5827D21F" w:rsidR="00E475B3" w:rsidRPr="00DE1573" w:rsidRDefault="00E475B3">
      <w:r w:rsidRPr="00DE1573">
        <w:br w:type="page"/>
      </w:r>
    </w:p>
    <w:p w14:paraId="5328713E" w14:textId="593A88F5" w:rsidR="00E475B3" w:rsidRPr="00DE1573" w:rsidRDefault="004E2FC4" w:rsidP="00E475B3">
      <w:pPr>
        <w:rPr>
          <w:rFonts w:ascii="Arial" w:hAnsi="Arial" w:cs="Arial"/>
          <w:b/>
          <w:sz w:val="32"/>
          <w:szCs w:val="32"/>
        </w:rPr>
      </w:pPr>
      <w:r w:rsidRPr="00DE1573">
        <w:rPr>
          <w:rFonts w:ascii="Arial" w:hAnsi="Arial" w:cs="Arial"/>
          <w:b/>
          <w:sz w:val="32"/>
          <w:szCs w:val="32"/>
        </w:rPr>
        <w:lastRenderedPageBreak/>
        <w:t>1</w:t>
      </w:r>
      <w:r w:rsidR="00327641" w:rsidRPr="00DE1573">
        <w:rPr>
          <w:rFonts w:ascii="Arial" w:hAnsi="Arial" w:cs="Arial"/>
          <w:b/>
          <w:sz w:val="32"/>
          <w:szCs w:val="32"/>
        </w:rPr>
        <w:t>0</w:t>
      </w:r>
      <w:r w:rsidR="00F35F0E" w:rsidRPr="00DE1573">
        <w:rPr>
          <w:rFonts w:ascii="Arial" w:hAnsi="Arial" w:cs="Arial"/>
          <w:b/>
          <w:sz w:val="32"/>
          <w:szCs w:val="32"/>
        </w:rPr>
        <w:t>.  Exhibit 2:  Fact Sheer</w:t>
      </w:r>
      <w:r w:rsidR="00E475B3" w:rsidRPr="00DE1573">
        <w:rPr>
          <w:rFonts w:ascii="Arial" w:hAnsi="Arial" w:cs="Arial"/>
          <w:b/>
          <w:sz w:val="32"/>
          <w:szCs w:val="32"/>
        </w:rPr>
        <w:t xml:space="preserve"> Particulate Matter </w:t>
      </w:r>
      <w:proofErr w:type="gramStart"/>
      <w:r w:rsidR="00E475B3" w:rsidRPr="00DE1573">
        <w:rPr>
          <w:rFonts w:ascii="Arial" w:hAnsi="Arial" w:cs="Arial"/>
          <w:b/>
          <w:sz w:val="32"/>
          <w:szCs w:val="32"/>
        </w:rPr>
        <w:t>Throughout</w:t>
      </w:r>
      <w:proofErr w:type="gramEnd"/>
      <w:r w:rsidR="00E475B3" w:rsidRPr="00DE1573">
        <w:rPr>
          <w:rFonts w:ascii="Arial" w:hAnsi="Arial" w:cs="Arial"/>
          <w:b/>
          <w:sz w:val="32"/>
          <w:szCs w:val="32"/>
        </w:rPr>
        <w:t xml:space="preserve"> Iraq</w:t>
      </w:r>
      <w:r w:rsidR="00072526" w:rsidRPr="00DE1573">
        <w:rPr>
          <w:rFonts w:ascii="Arial" w:hAnsi="Arial" w:cs="Arial"/>
          <w:b/>
          <w:sz w:val="32"/>
          <w:szCs w:val="32"/>
        </w:rPr>
        <w:t>,</w:t>
      </w:r>
      <w:r w:rsidR="00E475B3" w:rsidRPr="00DE1573">
        <w:rPr>
          <w:rFonts w:ascii="Arial" w:hAnsi="Arial" w:cs="Arial"/>
          <w:b/>
          <w:sz w:val="32"/>
          <w:szCs w:val="32"/>
        </w:rPr>
        <w:t xml:space="preserve"> Afghanistan</w:t>
      </w:r>
      <w:r w:rsidR="00072526" w:rsidRPr="00DE1573">
        <w:rPr>
          <w:rFonts w:ascii="Arial" w:hAnsi="Arial" w:cs="Arial"/>
          <w:b/>
          <w:sz w:val="32"/>
          <w:szCs w:val="32"/>
        </w:rPr>
        <w:t>, and Djibouti</w:t>
      </w:r>
    </w:p>
    <w:p w14:paraId="5A575CFB" w14:textId="0E1F915E" w:rsidR="00D4684C" w:rsidRPr="00DE1573" w:rsidRDefault="00D4684C" w:rsidP="00D4684C">
      <w:pPr>
        <w:pStyle w:val="BlockLine"/>
        <w:tabs>
          <w:tab w:val="left" w:pos="9360"/>
        </w:tabs>
        <w:ind w:left="1714"/>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43EE9" w:rsidRPr="00DE1573" w14:paraId="4918D59C" w14:textId="77777777" w:rsidTr="00C43EE9">
        <w:tc>
          <w:tcPr>
            <w:tcW w:w="1728" w:type="dxa"/>
            <w:shd w:val="clear" w:color="auto" w:fill="auto"/>
          </w:tcPr>
          <w:p w14:paraId="4E06E89B" w14:textId="58C7AED7" w:rsidR="00C43EE9" w:rsidRPr="00DE1573" w:rsidRDefault="00C43EE9" w:rsidP="00C43EE9">
            <w:pPr>
              <w:rPr>
                <w:b/>
                <w:sz w:val="22"/>
              </w:rPr>
            </w:pPr>
            <w:r w:rsidRPr="00DE1573">
              <w:rPr>
                <w:b/>
                <w:sz w:val="22"/>
              </w:rPr>
              <w:t>Change Date</w:t>
            </w:r>
          </w:p>
        </w:tc>
        <w:tc>
          <w:tcPr>
            <w:tcW w:w="7740" w:type="dxa"/>
            <w:shd w:val="clear" w:color="auto" w:fill="auto"/>
          </w:tcPr>
          <w:p w14:paraId="7A166B21" w14:textId="35A4F77F" w:rsidR="00C43EE9" w:rsidRPr="00DE1573" w:rsidRDefault="00785445" w:rsidP="00C43EE9">
            <w:r w:rsidRPr="00DE1573">
              <w:t>October 23, 2015</w:t>
            </w:r>
          </w:p>
        </w:tc>
      </w:tr>
    </w:tbl>
    <w:p w14:paraId="381B5601" w14:textId="2E1ADB13" w:rsidR="00C43EE9" w:rsidRPr="00DE1573" w:rsidRDefault="00D4684C" w:rsidP="00D4684C">
      <w:pPr>
        <w:tabs>
          <w:tab w:val="left" w:pos="9360"/>
        </w:tabs>
        <w:ind w:left="1714"/>
      </w:pPr>
      <w:r w:rsidRPr="00DE1573">
        <w:rPr>
          <w:u w:val="single"/>
        </w:rPr>
        <w:tab/>
      </w:r>
    </w:p>
    <w:p w14:paraId="2284723A" w14:textId="77777777" w:rsidR="00D4684C" w:rsidRPr="00DE1573" w:rsidRDefault="00D4684C" w:rsidP="00D468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E475B3" w:rsidRPr="00DE1573" w14:paraId="7036A3CE" w14:textId="77777777" w:rsidTr="007F12FF">
        <w:tc>
          <w:tcPr>
            <w:tcW w:w="1728" w:type="dxa"/>
            <w:shd w:val="clear" w:color="auto" w:fill="auto"/>
          </w:tcPr>
          <w:p w14:paraId="1FE41F87" w14:textId="6047F46F" w:rsidR="00E475B3" w:rsidRPr="00DE1573" w:rsidRDefault="00E67CF6" w:rsidP="00955A3C">
            <w:pPr>
              <w:rPr>
                <w:b/>
              </w:rPr>
            </w:pPr>
            <w:r w:rsidRPr="00DE1573">
              <w:rPr>
                <w:b/>
                <w:sz w:val="22"/>
                <w:szCs w:val="22"/>
              </w:rPr>
              <w:t>a.  Fact Sheet: Particulate Matter Throughout Iraq</w:t>
            </w:r>
            <w:r w:rsidR="00955A3C" w:rsidRPr="00DE1573">
              <w:rPr>
                <w:b/>
                <w:sz w:val="22"/>
                <w:szCs w:val="22"/>
              </w:rPr>
              <w:t>,</w:t>
            </w:r>
            <w:r w:rsidRPr="00DE1573">
              <w:rPr>
                <w:b/>
                <w:sz w:val="22"/>
                <w:szCs w:val="22"/>
              </w:rPr>
              <w:t xml:space="preserve"> Afghanistan</w:t>
            </w:r>
            <w:r w:rsidR="00955A3C" w:rsidRPr="00DE1573">
              <w:rPr>
                <w:b/>
                <w:sz w:val="22"/>
                <w:szCs w:val="22"/>
              </w:rPr>
              <w:t>, and Djibouti</w:t>
            </w:r>
            <w:r w:rsidRPr="00DE1573">
              <w:t xml:space="preserve"> </w:t>
            </w:r>
          </w:p>
        </w:tc>
        <w:tc>
          <w:tcPr>
            <w:tcW w:w="7740" w:type="dxa"/>
            <w:shd w:val="clear" w:color="auto" w:fill="auto"/>
          </w:tcPr>
          <w:p w14:paraId="0D9A36D8" w14:textId="4379342B" w:rsidR="00E475B3" w:rsidRPr="00DE1573" w:rsidRDefault="00E475B3" w:rsidP="007E67FD">
            <w:r w:rsidRPr="00DE1573">
              <w:rPr>
                <w:i/>
              </w:rPr>
              <w:t>Fact Sheet for Claims of Exposure Based on Particulate Matter Throughout Iraq</w:t>
            </w:r>
            <w:r w:rsidR="007E67FD" w:rsidRPr="00DE1573">
              <w:rPr>
                <w:i/>
              </w:rPr>
              <w:t>,</w:t>
            </w:r>
            <w:r w:rsidRPr="00DE1573">
              <w:rPr>
                <w:i/>
              </w:rPr>
              <w:t xml:space="preserve"> Afghanistan</w:t>
            </w:r>
            <w:r w:rsidR="007E67FD" w:rsidRPr="00DE1573">
              <w:rPr>
                <w:i/>
              </w:rPr>
              <w:t>, and Djibouti</w:t>
            </w:r>
            <w:r w:rsidRPr="00DE1573">
              <w:t xml:space="preserve"> is shown below.</w:t>
            </w:r>
          </w:p>
        </w:tc>
      </w:tr>
    </w:tbl>
    <w:p w14:paraId="7B36FD89" w14:textId="77777777" w:rsidR="00E475B3" w:rsidRPr="00DE1573" w:rsidRDefault="00E475B3" w:rsidP="00E475B3">
      <w:pPr>
        <w:rPr>
          <w:rFonts w:ascii="Arial" w:hAnsi="Arial" w:cs="Arial"/>
          <w:sz w:val="32"/>
          <w:szCs w:val="32"/>
        </w:rPr>
      </w:pPr>
    </w:p>
    <w:tbl>
      <w:tblPr>
        <w:tblStyle w:val="TableGrid"/>
        <w:tblW w:w="0" w:type="auto"/>
        <w:tblLook w:val="04A0" w:firstRow="1" w:lastRow="0" w:firstColumn="1" w:lastColumn="0" w:noHBand="0" w:noVBand="1"/>
      </w:tblPr>
      <w:tblGrid>
        <w:gridCol w:w="9576"/>
      </w:tblGrid>
      <w:tr w:rsidR="00E475B3" w:rsidRPr="00DE1573" w14:paraId="16EFCD03" w14:textId="77777777" w:rsidTr="007F12FF">
        <w:tc>
          <w:tcPr>
            <w:tcW w:w="9576" w:type="dxa"/>
          </w:tcPr>
          <w:p w14:paraId="07A95999" w14:textId="77777777" w:rsidR="00E475B3" w:rsidRPr="00DE1573" w:rsidRDefault="00E475B3" w:rsidP="007F12FF">
            <w:pPr>
              <w:jc w:val="center"/>
              <w:rPr>
                <w:b/>
                <w:u w:val="single"/>
              </w:rPr>
            </w:pPr>
            <w:r w:rsidRPr="00DE1573">
              <w:rPr>
                <w:b/>
                <w:u w:val="single"/>
              </w:rPr>
              <w:t>FACT SHEET</w:t>
            </w:r>
          </w:p>
          <w:p w14:paraId="06DEFA8F" w14:textId="1BD33A67" w:rsidR="00E475B3" w:rsidRPr="00DE1573" w:rsidRDefault="00E475B3" w:rsidP="007F12FF">
            <w:pPr>
              <w:jc w:val="center"/>
              <w:rPr>
                <w:b/>
                <w:u w:val="single"/>
              </w:rPr>
            </w:pPr>
            <w:r w:rsidRPr="00DE1573">
              <w:rPr>
                <w:b/>
                <w:u w:val="single"/>
              </w:rPr>
              <w:t>Particulate Matter throughout Iraq</w:t>
            </w:r>
            <w:r w:rsidR="007E67FD" w:rsidRPr="00DE1573">
              <w:rPr>
                <w:b/>
                <w:u w:val="single"/>
              </w:rPr>
              <w:t>,</w:t>
            </w:r>
            <w:r w:rsidRPr="00DE1573">
              <w:rPr>
                <w:b/>
                <w:u w:val="single"/>
              </w:rPr>
              <w:t xml:space="preserve"> Afghanistan</w:t>
            </w:r>
            <w:r w:rsidR="007E67FD" w:rsidRPr="00DE1573">
              <w:rPr>
                <w:b/>
                <w:u w:val="single"/>
              </w:rPr>
              <w:t>, and Djibouti</w:t>
            </w:r>
          </w:p>
          <w:p w14:paraId="333EE75D" w14:textId="77777777" w:rsidR="00E475B3" w:rsidRPr="00DE1573" w:rsidRDefault="00E475B3" w:rsidP="007F12FF">
            <w:pPr>
              <w:pStyle w:val="Heading9"/>
              <w:shd w:val="clear" w:color="auto" w:fill="C0C0C0"/>
              <w:jc w:val="center"/>
              <w:rPr>
                <w:rFonts w:cs="Arial"/>
              </w:rPr>
            </w:pPr>
            <w:r w:rsidRPr="00DE1573">
              <w:rPr>
                <w:rFonts w:cs="Arial"/>
              </w:rPr>
              <w:t>NOTICE TO VA EXAMINERS</w:t>
            </w:r>
          </w:p>
          <w:p w14:paraId="0F3EA318" w14:textId="77777777" w:rsidR="00E475B3" w:rsidRPr="00DE1573" w:rsidRDefault="00E475B3" w:rsidP="007F12FF">
            <w:pPr>
              <w:pStyle w:val="Heading9"/>
              <w:shd w:val="clear" w:color="auto" w:fill="C0C0C0"/>
              <w:jc w:val="center"/>
              <w:rPr>
                <w:rFonts w:cs="Arial"/>
              </w:rPr>
            </w:pPr>
            <w:r w:rsidRPr="00DE1573">
              <w:rPr>
                <w:rFonts w:cs="Arial"/>
              </w:rPr>
              <w:t>VA Considers this Veteran Exposed to High Levels of Particulate Matter</w:t>
            </w:r>
          </w:p>
          <w:p w14:paraId="71038E0E" w14:textId="77777777" w:rsidR="00E475B3" w:rsidRPr="00DE1573" w:rsidRDefault="00E475B3" w:rsidP="007F12FF">
            <w:pPr>
              <w:pStyle w:val="NormalWeb"/>
              <w:rPr>
                <w:rFonts w:ascii="Arial" w:hAnsi="Arial" w:cs="Arial"/>
                <w:b/>
                <w:i/>
                <w:color w:val="000000"/>
                <w:sz w:val="18"/>
                <w:szCs w:val="24"/>
              </w:rPr>
            </w:pPr>
          </w:p>
          <w:p w14:paraId="306DB416" w14:textId="77777777" w:rsidR="00E475B3" w:rsidRPr="00DE1573" w:rsidRDefault="00E475B3" w:rsidP="007F12FF">
            <w:pPr>
              <w:pStyle w:val="NormalWeb"/>
              <w:rPr>
                <w:rFonts w:ascii="Arial" w:hAnsi="Arial" w:cs="Arial"/>
                <w:lang w:val="en"/>
              </w:rPr>
            </w:pPr>
            <w:r w:rsidRPr="00DE1573">
              <w:rPr>
                <w:rFonts w:ascii="Arial" w:hAnsi="Arial" w:cs="Arial"/>
                <w:lang w:val="en"/>
              </w:rPr>
              <w:t xml:space="preserve">"Particulate matter” (PM), is a complex mixture of extremely small particles and liquid droplets made up of a number of components, including acids (such as nitrates and sulfates), organic chemicals, metals, and soil or dust particles.  </w:t>
            </w:r>
            <w:proofErr w:type="spellStart"/>
            <w:r w:rsidRPr="00DE1573">
              <w:rPr>
                <w:rFonts w:ascii="Arial" w:hAnsi="Arial" w:cs="Arial"/>
                <w:lang w:val="en"/>
              </w:rPr>
              <w:t>T</w:t>
            </w:r>
            <w:r w:rsidRPr="00DE1573">
              <w:rPr>
                <w:rFonts w:ascii="Arial" w:hAnsi="Arial" w:cs="Arial"/>
                <w:szCs w:val="22"/>
              </w:rPr>
              <w:t>he</w:t>
            </w:r>
            <w:proofErr w:type="spellEnd"/>
            <w:r w:rsidRPr="00DE1573">
              <w:rPr>
                <w:rFonts w:ascii="Arial" w:hAnsi="Arial" w:cs="Arial"/>
                <w:szCs w:val="22"/>
              </w:rPr>
              <w:t xml:space="preserve"> PM levels in Southwest Asia are naturally higher than most of the world and may present a health risk to service members.  </w:t>
            </w:r>
            <w:r w:rsidRPr="00DE1573">
              <w:rPr>
                <w:rFonts w:ascii="Arial" w:hAnsi="Arial" w:cs="Arial"/>
                <w:lang w:val="en"/>
              </w:rPr>
              <w:t>There are two sizes of particles in the air that are a health concern—particles with a 10-micron (PM</w:t>
            </w:r>
            <w:r w:rsidRPr="00DE1573">
              <w:rPr>
                <w:rFonts w:ascii="Arial" w:hAnsi="Arial" w:cs="Arial"/>
                <w:sz w:val="12"/>
                <w:lang w:val="en"/>
              </w:rPr>
              <w:t>10</w:t>
            </w:r>
            <w:r w:rsidRPr="00DE1573">
              <w:rPr>
                <w:rFonts w:ascii="Arial" w:hAnsi="Arial" w:cs="Arial"/>
                <w:lang w:val="en"/>
              </w:rPr>
              <w:t>) diameter or smaller, and those 2.5 microns (PM</w:t>
            </w:r>
            <w:r w:rsidRPr="00DE1573">
              <w:rPr>
                <w:rFonts w:ascii="Arial" w:hAnsi="Arial" w:cs="Arial"/>
                <w:sz w:val="12"/>
                <w:lang w:val="en"/>
              </w:rPr>
              <w:t>2.5</w:t>
            </w:r>
            <w:r w:rsidRPr="00DE1573">
              <w:rPr>
                <w:rFonts w:ascii="Arial" w:hAnsi="Arial" w:cs="Arial"/>
                <w:lang w:val="en"/>
              </w:rPr>
              <w:t xml:space="preserve">) and smaller.  The size is directly linked to potential for causing health problems.  Once inhaled, 10-micron sized particles or smaller can affect the heart and lungs and cause serious health effects.  </w:t>
            </w:r>
          </w:p>
          <w:p w14:paraId="7BA27359" w14:textId="77777777" w:rsidR="00E475B3" w:rsidRPr="00DE1573" w:rsidRDefault="00E475B3" w:rsidP="007F12FF">
            <w:pPr>
              <w:pStyle w:val="NormalWeb"/>
              <w:rPr>
                <w:rFonts w:ascii="Arial" w:hAnsi="Arial" w:cs="Arial"/>
                <w:lang w:val="en"/>
              </w:rPr>
            </w:pPr>
          </w:p>
          <w:p w14:paraId="223028DA" w14:textId="633CB994" w:rsidR="00E475B3" w:rsidRPr="00DE1573" w:rsidRDefault="00E475B3" w:rsidP="007F12FF">
            <w:pPr>
              <w:pStyle w:val="BodyTextIndent"/>
              <w:ind w:left="0"/>
              <w:rPr>
                <w:rFonts w:ascii="Arial" w:hAnsi="Arial" w:cs="Arial"/>
                <w:b/>
                <w:lang w:val="en"/>
              </w:rPr>
            </w:pPr>
            <w:r w:rsidRPr="00DE1573">
              <w:rPr>
                <w:rFonts w:ascii="Arial" w:hAnsi="Arial" w:cs="Arial"/>
                <w:szCs w:val="22"/>
              </w:rPr>
              <w:t>Primary sources of PM in Southwest Asia</w:t>
            </w:r>
            <w:r w:rsidR="00072526" w:rsidRPr="00DE1573">
              <w:rPr>
                <w:rFonts w:ascii="Arial" w:hAnsi="Arial" w:cs="Arial"/>
                <w:szCs w:val="22"/>
              </w:rPr>
              <w:t xml:space="preserve"> and Djibouti on the Horn of Africa</w:t>
            </w:r>
            <w:r w:rsidRPr="00DE1573">
              <w:rPr>
                <w:rFonts w:ascii="Arial" w:hAnsi="Arial" w:cs="Arial"/>
                <w:szCs w:val="22"/>
              </w:rPr>
              <w:t xml:space="preserve"> include dust storms and emissions from local industries.  The DoD conducted a year-long sampling survey to characterize the chemistry and mineralogy of the PM at 15 sites in OIF and OEF.  These results were published by the Desert Research Institute in 2008 and are being reviewed by the National Academy of Sciences Committee on Toxicology.  DoD stated in their 2008 </w:t>
            </w:r>
            <w:proofErr w:type="spellStart"/>
            <w:r w:rsidRPr="00DE1573">
              <w:rPr>
                <w:rFonts w:ascii="Arial" w:hAnsi="Arial" w:cs="Arial"/>
                <w:szCs w:val="22"/>
              </w:rPr>
              <w:t>Balad</w:t>
            </w:r>
            <w:proofErr w:type="spellEnd"/>
            <w:r w:rsidRPr="00DE1573">
              <w:rPr>
                <w:rFonts w:ascii="Arial" w:hAnsi="Arial" w:cs="Arial"/>
                <w:szCs w:val="22"/>
              </w:rPr>
              <w:t xml:space="preserve"> assessment, that emission from burns pits, among other things, “may increase localized concentration of </w:t>
            </w:r>
            <w:r w:rsidRPr="00DE1573">
              <w:rPr>
                <w:rFonts w:ascii="Arial" w:hAnsi="Arial" w:cs="Arial"/>
                <w:szCs w:val="14"/>
              </w:rPr>
              <w:t xml:space="preserve">2.5 micrometer PM </w:t>
            </w:r>
            <w:r w:rsidRPr="00DE1573">
              <w:rPr>
                <w:rFonts w:ascii="Arial" w:hAnsi="Arial" w:cs="Arial"/>
                <w:szCs w:val="22"/>
              </w:rPr>
              <w:t xml:space="preserve">and other potentially toxic air pollutants.”  </w:t>
            </w:r>
          </w:p>
          <w:p w14:paraId="2C9BEEEA" w14:textId="77777777" w:rsidR="00E475B3" w:rsidRPr="00DE1573" w:rsidRDefault="00E475B3" w:rsidP="007F12FF">
            <w:pPr>
              <w:autoSpaceDE w:val="0"/>
              <w:autoSpaceDN w:val="0"/>
              <w:adjustRightInd w:val="0"/>
              <w:rPr>
                <w:rFonts w:ascii="Arial" w:hAnsi="Arial" w:cs="Arial"/>
              </w:rPr>
            </w:pPr>
          </w:p>
          <w:p w14:paraId="752957ED" w14:textId="77777777" w:rsidR="00E475B3" w:rsidRPr="00DE1573" w:rsidRDefault="00E475B3" w:rsidP="007F12FF">
            <w:pPr>
              <w:autoSpaceDE w:val="0"/>
              <w:autoSpaceDN w:val="0"/>
              <w:adjustRightInd w:val="0"/>
              <w:rPr>
                <w:rFonts w:ascii="Arial" w:hAnsi="Arial" w:cs="Arial"/>
              </w:rPr>
            </w:pPr>
            <w:r w:rsidRPr="00DE1573">
              <w:rPr>
                <w:rFonts w:ascii="Arial" w:hAnsi="Arial" w:cs="Arial"/>
              </w:rPr>
              <w:t xml:space="preserve">Most studies relate PM exposure data to respiratory and cardiopulmonary health effects in specific susceptible general population subgroups to include young children, the elderly, and especially those with existing asthma or cardiopulmonary disease.  Many variables influence the probability of health outcomes.  The key variables are the size-fraction and chemical makeup of the PM, the concentration levels, the duration of exposures, and various human factors to include age, health status, existing medical conditions, and genetics.  These variables combined with scientific data gaps limit the </w:t>
            </w:r>
            <w:r w:rsidRPr="00DE1573">
              <w:rPr>
                <w:rFonts w:ascii="Arial" w:hAnsi="Arial" w:cs="Arial"/>
              </w:rPr>
              <w:lastRenderedPageBreak/>
              <w:t xml:space="preserve">medical community’s ability to estimate health impacts to relatively healthy troops.  Another key factor is that most studies have been on older or less healthy groups.  Several studies to determine potential health effects/outcomes are currently underway.   </w:t>
            </w:r>
          </w:p>
          <w:p w14:paraId="4E1F25E5" w14:textId="77777777" w:rsidR="00E475B3" w:rsidRPr="00DE1573" w:rsidRDefault="00E475B3" w:rsidP="007F12FF">
            <w:pPr>
              <w:autoSpaceDE w:val="0"/>
              <w:autoSpaceDN w:val="0"/>
              <w:adjustRightInd w:val="0"/>
              <w:rPr>
                <w:rFonts w:ascii="Arial" w:hAnsi="Arial" w:cs="Arial"/>
              </w:rPr>
            </w:pPr>
          </w:p>
          <w:p w14:paraId="1BFD9357" w14:textId="77777777" w:rsidR="00E475B3" w:rsidRPr="00DE1573" w:rsidRDefault="00E475B3" w:rsidP="007F12FF">
            <w:pPr>
              <w:pStyle w:val="Header"/>
              <w:rPr>
                <w:rFonts w:ascii="Arial" w:hAnsi="Arial" w:cs="Arial"/>
              </w:rPr>
            </w:pPr>
            <w:r w:rsidRPr="00DE1573">
              <w:rPr>
                <w:rFonts w:ascii="Arial" w:hAnsi="Arial" w:cs="Arial"/>
              </w:rPr>
              <w:t xml:space="preserve">DoD collected approximately 60 air samples at </w:t>
            </w:r>
            <w:proofErr w:type="spellStart"/>
            <w:r w:rsidRPr="00DE1573">
              <w:rPr>
                <w:rFonts w:ascii="Arial" w:hAnsi="Arial" w:cs="Arial"/>
              </w:rPr>
              <w:t>Balad</w:t>
            </w:r>
            <w:proofErr w:type="spellEnd"/>
            <w:r w:rsidRPr="00DE1573">
              <w:rPr>
                <w:rFonts w:ascii="Arial" w:hAnsi="Arial" w:cs="Arial"/>
              </w:rPr>
              <w:t xml:space="preserve"> from January to April 2007 and assessed for PM.  The samples were taken from five different locations around </w:t>
            </w:r>
            <w:proofErr w:type="spellStart"/>
            <w:r w:rsidRPr="00DE1573">
              <w:rPr>
                <w:rFonts w:ascii="Arial" w:hAnsi="Arial" w:cs="Arial"/>
              </w:rPr>
              <w:t>Balad</w:t>
            </w:r>
            <w:proofErr w:type="spellEnd"/>
            <w:r w:rsidRPr="00DE1573">
              <w:rPr>
                <w:rFonts w:ascii="Arial" w:hAnsi="Arial" w:cs="Arial"/>
              </w:rPr>
              <w:t xml:space="preserve">.  The heaviest measured concentration of PM was taken in April 2007—the concentration level was </w:t>
            </w:r>
            <w:proofErr w:type="gramStart"/>
            <w:r w:rsidRPr="00DE1573">
              <w:rPr>
                <w:rFonts w:ascii="Arial" w:hAnsi="Arial" w:cs="Arial"/>
              </w:rPr>
              <w:t xml:space="preserve">299 </w:t>
            </w:r>
            <w:proofErr w:type="spellStart"/>
            <w:r w:rsidRPr="00DE1573">
              <w:rPr>
                <w:rFonts w:ascii="Arial" w:hAnsi="Arial" w:cs="Arial"/>
              </w:rPr>
              <w:t>ug</w:t>
            </w:r>
            <w:proofErr w:type="spellEnd"/>
            <w:r w:rsidRPr="00DE1573">
              <w:rPr>
                <w:rFonts w:ascii="Arial" w:hAnsi="Arial" w:cs="Arial"/>
              </w:rPr>
              <w:t>/m3 of PM10 sized particles</w:t>
            </w:r>
            <w:proofErr w:type="gramEnd"/>
            <w:r w:rsidRPr="00DE1573">
              <w:rPr>
                <w:rFonts w:ascii="Arial" w:hAnsi="Arial" w:cs="Arial"/>
              </w:rPr>
              <w:t>. In total, 50 of the 60 samples registered above the military exposure guidelines.</w:t>
            </w:r>
          </w:p>
          <w:p w14:paraId="6A0A3F94" w14:textId="77777777" w:rsidR="00E475B3" w:rsidRPr="00DE1573" w:rsidRDefault="00E475B3" w:rsidP="007F12FF">
            <w:pPr>
              <w:rPr>
                <w:rFonts w:ascii="Arial" w:hAnsi="Arial" w:cs="Arial"/>
              </w:rPr>
            </w:pPr>
            <w:r w:rsidRPr="00DE1573">
              <w:rPr>
                <w:rFonts w:ascii="Arial" w:hAnsi="Arial" w:cs="Arial"/>
              </w:rPr>
              <w:t>This information is not meant to influence examiners rendering opinions concerning the etiology of any particular disability; but rather to ensure that such opinions are fully informed based on all known objective facts.  Therefore, when rendering opinions requested by rating authorities for a disability potentially related to such exposure, please utilize this information objectively and together with the remaining evidence, including lay evidence, in the Veteran’s record.</w:t>
            </w:r>
          </w:p>
          <w:p w14:paraId="2635FBD7" w14:textId="77777777" w:rsidR="00E475B3" w:rsidRPr="00DE1573" w:rsidRDefault="00E475B3" w:rsidP="007F12FF">
            <w:pPr>
              <w:rPr>
                <w:rFonts w:ascii="Arial" w:hAnsi="Arial" w:cs="Arial"/>
              </w:rPr>
            </w:pPr>
          </w:p>
          <w:p w14:paraId="000B303D" w14:textId="77777777" w:rsidR="00E475B3" w:rsidRPr="00DE1573" w:rsidRDefault="00E475B3" w:rsidP="007F12FF">
            <w:pPr>
              <w:rPr>
                <w:rFonts w:ascii="Arial" w:hAnsi="Arial" w:cs="Arial"/>
              </w:rPr>
            </w:pPr>
          </w:p>
          <w:p w14:paraId="4846526D" w14:textId="77777777" w:rsidR="00E475B3" w:rsidRPr="00DE1573" w:rsidRDefault="00E475B3" w:rsidP="007F12FF">
            <w:pPr>
              <w:rPr>
                <w:rFonts w:ascii="Arial" w:hAnsi="Arial" w:cs="Arial"/>
              </w:rPr>
            </w:pP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t>_____________________</w:t>
            </w:r>
          </w:p>
          <w:p w14:paraId="33D53F72" w14:textId="78786B2D" w:rsidR="00E475B3" w:rsidRPr="00DE1573" w:rsidRDefault="00E475B3" w:rsidP="007F12FF">
            <w:pPr>
              <w:rPr>
                <w:rFonts w:ascii="Arial" w:hAnsi="Arial" w:cs="Arial"/>
              </w:rPr>
            </w:pP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t>Adjudication Authority</w:t>
            </w:r>
          </w:p>
        </w:tc>
      </w:tr>
    </w:tbl>
    <w:p w14:paraId="0AB4E0C8" w14:textId="492FC6C8" w:rsidR="00E475B3" w:rsidRPr="00DE1573" w:rsidRDefault="0088121C" w:rsidP="0088121C">
      <w:pPr>
        <w:tabs>
          <w:tab w:val="left" w:pos="9360"/>
        </w:tabs>
        <w:ind w:left="1714"/>
      </w:pPr>
      <w:r w:rsidRPr="00DE1573">
        <w:rPr>
          <w:u w:val="single"/>
        </w:rPr>
        <w:lastRenderedPageBreak/>
        <w:tab/>
      </w:r>
    </w:p>
    <w:p w14:paraId="48E9AFC9" w14:textId="480996A6" w:rsidR="0088121C" w:rsidRPr="00DE1573" w:rsidRDefault="0088121C" w:rsidP="0088121C">
      <w:pPr>
        <w:ind w:left="1714"/>
      </w:pPr>
    </w:p>
    <w:p w14:paraId="32E535F9" w14:textId="77777777" w:rsidR="0088121C" w:rsidRPr="00DE1573" w:rsidRDefault="0088121C" w:rsidP="0088121C"/>
    <w:p w14:paraId="0E1CD08D" w14:textId="290FE6B3" w:rsidR="00E475B3" w:rsidRPr="00DE1573" w:rsidRDefault="00E475B3">
      <w:r w:rsidRPr="00DE1573">
        <w:br w:type="page"/>
      </w:r>
    </w:p>
    <w:p w14:paraId="62713C12" w14:textId="4CC42376" w:rsidR="000814FB" w:rsidRPr="00DE1573" w:rsidRDefault="004E2FC4" w:rsidP="000814FB">
      <w:pPr>
        <w:rPr>
          <w:rFonts w:ascii="Arial" w:hAnsi="Arial" w:cs="Arial"/>
          <w:b/>
          <w:sz w:val="32"/>
          <w:szCs w:val="32"/>
        </w:rPr>
      </w:pPr>
      <w:r w:rsidRPr="00DE1573">
        <w:rPr>
          <w:rFonts w:ascii="Arial" w:hAnsi="Arial" w:cs="Arial"/>
          <w:b/>
          <w:sz w:val="32"/>
          <w:szCs w:val="32"/>
        </w:rPr>
        <w:lastRenderedPageBreak/>
        <w:t>1</w:t>
      </w:r>
      <w:r w:rsidR="00327641" w:rsidRPr="00DE1573">
        <w:rPr>
          <w:rFonts w:ascii="Arial" w:hAnsi="Arial" w:cs="Arial"/>
          <w:b/>
          <w:sz w:val="32"/>
          <w:szCs w:val="32"/>
        </w:rPr>
        <w:t>1</w:t>
      </w:r>
      <w:r w:rsidR="00EA57BB" w:rsidRPr="00DE1573">
        <w:rPr>
          <w:rFonts w:ascii="Arial" w:hAnsi="Arial" w:cs="Arial"/>
          <w:b/>
          <w:sz w:val="32"/>
          <w:szCs w:val="32"/>
        </w:rPr>
        <w:t>.  Exhibit 3:  Fact Sheet</w:t>
      </w:r>
      <w:r w:rsidR="000814FB" w:rsidRPr="00DE1573">
        <w:rPr>
          <w:rFonts w:ascii="Arial" w:hAnsi="Arial" w:cs="Arial"/>
          <w:b/>
          <w:sz w:val="32"/>
          <w:szCs w:val="32"/>
        </w:rPr>
        <w:t xml:space="preserve"> Sulfur Fire at the </w:t>
      </w:r>
      <w:proofErr w:type="spellStart"/>
      <w:r w:rsidR="000814FB" w:rsidRPr="00DE1573">
        <w:rPr>
          <w:rFonts w:ascii="Arial" w:hAnsi="Arial" w:cs="Arial"/>
          <w:b/>
          <w:sz w:val="32"/>
          <w:szCs w:val="32"/>
        </w:rPr>
        <w:t>Mishraq</w:t>
      </w:r>
      <w:proofErr w:type="spellEnd"/>
      <w:r w:rsidR="000814FB" w:rsidRPr="00DE1573">
        <w:rPr>
          <w:rFonts w:ascii="Arial" w:hAnsi="Arial" w:cs="Arial"/>
          <w:b/>
          <w:sz w:val="32"/>
          <w:szCs w:val="32"/>
        </w:rPr>
        <w:t xml:space="preserve"> State Sulfur Mine </w:t>
      </w:r>
      <w:proofErr w:type="gramStart"/>
      <w:r w:rsidR="000814FB" w:rsidRPr="00DE1573">
        <w:rPr>
          <w:rFonts w:ascii="Arial" w:hAnsi="Arial" w:cs="Arial"/>
          <w:b/>
          <w:sz w:val="32"/>
          <w:szCs w:val="32"/>
        </w:rPr>
        <w:t>Near</w:t>
      </w:r>
      <w:proofErr w:type="gramEnd"/>
      <w:r w:rsidR="000814FB" w:rsidRPr="00DE1573">
        <w:rPr>
          <w:rFonts w:ascii="Arial" w:hAnsi="Arial" w:cs="Arial"/>
          <w:b/>
          <w:sz w:val="32"/>
          <w:szCs w:val="32"/>
        </w:rPr>
        <w:t xml:space="preserve"> Mosul, Iraq</w:t>
      </w:r>
    </w:p>
    <w:p w14:paraId="0250A3F7" w14:textId="77777777" w:rsidR="00D4684C" w:rsidRPr="00DE1573" w:rsidRDefault="00D4684C" w:rsidP="00D4684C">
      <w:pPr>
        <w:tabs>
          <w:tab w:val="left" w:pos="9360"/>
        </w:tabs>
        <w:ind w:left="1714"/>
      </w:pPr>
      <w:r w:rsidRPr="00DE1573">
        <w:rPr>
          <w:u w:val="single"/>
        </w:rPr>
        <w:tab/>
      </w:r>
    </w:p>
    <w:p w14:paraId="77D1E5B7" w14:textId="42F0A017" w:rsidR="000814FB" w:rsidRPr="00DE1573" w:rsidRDefault="000814FB" w:rsidP="00D468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C43EE9" w:rsidRPr="00DE1573" w14:paraId="42C4E909" w14:textId="77777777" w:rsidTr="00C43EE9">
        <w:tc>
          <w:tcPr>
            <w:tcW w:w="1728" w:type="dxa"/>
            <w:shd w:val="clear" w:color="auto" w:fill="auto"/>
          </w:tcPr>
          <w:p w14:paraId="61104C58" w14:textId="3E6C9414" w:rsidR="00C43EE9" w:rsidRPr="00DE1573" w:rsidRDefault="00C43EE9" w:rsidP="000814FB">
            <w:pPr>
              <w:tabs>
                <w:tab w:val="left" w:pos="9360"/>
              </w:tabs>
              <w:rPr>
                <w:b/>
                <w:sz w:val="22"/>
              </w:rPr>
            </w:pPr>
            <w:r w:rsidRPr="00DE1573">
              <w:rPr>
                <w:b/>
                <w:sz w:val="22"/>
              </w:rPr>
              <w:t>Change Date</w:t>
            </w:r>
          </w:p>
        </w:tc>
        <w:tc>
          <w:tcPr>
            <w:tcW w:w="7740" w:type="dxa"/>
            <w:shd w:val="clear" w:color="auto" w:fill="auto"/>
          </w:tcPr>
          <w:p w14:paraId="494DA522" w14:textId="2CF9A8AF" w:rsidR="00C43EE9" w:rsidRPr="00DE1573" w:rsidRDefault="00C43EE9" w:rsidP="000814FB">
            <w:pPr>
              <w:tabs>
                <w:tab w:val="left" w:pos="9360"/>
              </w:tabs>
            </w:pPr>
            <w:r w:rsidRPr="00DE1573">
              <w:t>August 7, 2015</w:t>
            </w:r>
          </w:p>
        </w:tc>
      </w:tr>
    </w:tbl>
    <w:p w14:paraId="7FBAF908" w14:textId="2E295ED2" w:rsidR="00C43EE9" w:rsidRPr="00DE1573" w:rsidRDefault="00C43EE9" w:rsidP="00C43EE9">
      <w:pPr>
        <w:tabs>
          <w:tab w:val="left" w:pos="9360"/>
        </w:tabs>
        <w:ind w:left="1714"/>
      </w:pPr>
      <w:r w:rsidRPr="00DE1573">
        <w:rPr>
          <w:u w:val="single"/>
        </w:rPr>
        <w:tab/>
      </w:r>
    </w:p>
    <w:p w14:paraId="2FF0A812" w14:textId="77777777" w:rsidR="00C43EE9" w:rsidRPr="00DE1573" w:rsidRDefault="00C43EE9" w:rsidP="00C43E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814FB" w:rsidRPr="00DE1573" w14:paraId="763E9FC8" w14:textId="77777777" w:rsidTr="007F12FF">
        <w:tc>
          <w:tcPr>
            <w:tcW w:w="1728" w:type="dxa"/>
            <w:shd w:val="clear" w:color="auto" w:fill="auto"/>
          </w:tcPr>
          <w:p w14:paraId="4A668D93" w14:textId="0E1F94FE" w:rsidR="000814FB" w:rsidRPr="00DE1573" w:rsidRDefault="00C43EE9" w:rsidP="00E67CF6">
            <w:pPr>
              <w:rPr>
                <w:b/>
              </w:rPr>
            </w:pPr>
            <w:r w:rsidRPr="00DE1573">
              <w:rPr>
                <w:b/>
              </w:rPr>
              <w:t xml:space="preserve">a.  </w:t>
            </w:r>
            <w:r w:rsidR="000814FB" w:rsidRPr="00DE1573">
              <w:rPr>
                <w:b/>
              </w:rPr>
              <w:t>F</w:t>
            </w:r>
            <w:r w:rsidR="00E67CF6" w:rsidRPr="00DE1573">
              <w:rPr>
                <w:b/>
              </w:rPr>
              <w:t xml:space="preserve">act Sheet: Sulfur Fire at the </w:t>
            </w:r>
            <w:proofErr w:type="spellStart"/>
            <w:r w:rsidR="00E67CF6" w:rsidRPr="00DE1573">
              <w:rPr>
                <w:b/>
              </w:rPr>
              <w:t>Mishraq</w:t>
            </w:r>
            <w:proofErr w:type="spellEnd"/>
            <w:r w:rsidR="00E67CF6" w:rsidRPr="00DE1573">
              <w:rPr>
                <w:b/>
              </w:rPr>
              <w:t xml:space="preserve"> State Sulfur Mine</w:t>
            </w:r>
          </w:p>
        </w:tc>
        <w:tc>
          <w:tcPr>
            <w:tcW w:w="7740" w:type="dxa"/>
            <w:shd w:val="clear" w:color="auto" w:fill="auto"/>
          </w:tcPr>
          <w:p w14:paraId="5B52100D" w14:textId="77777777" w:rsidR="000814FB" w:rsidRPr="00DE1573" w:rsidRDefault="000814FB" w:rsidP="000814FB">
            <w:r w:rsidRPr="00DE1573">
              <w:rPr>
                <w:i/>
              </w:rPr>
              <w:t xml:space="preserve">Fact Sheet for Claims of Exposure Based on the Sulfur Fire at the </w:t>
            </w:r>
            <w:proofErr w:type="spellStart"/>
            <w:r w:rsidRPr="00DE1573">
              <w:rPr>
                <w:i/>
              </w:rPr>
              <w:t>Mishraq</w:t>
            </w:r>
            <w:proofErr w:type="spellEnd"/>
            <w:r w:rsidRPr="00DE1573">
              <w:rPr>
                <w:i/>
              </w:rPr>
              <w:t xml:space="preserve"> State Sulfur Mine Near Mosul, Iraq</w:t>
            </w:r>
            <w:r w:rsidRPr="00DE1573">
              <w:t>, is shown below.</w:t>
            </w:r>
          </w:p>
        </w:tc>
      </w:tr>
    </w:tbl>
    <w:p w14:paraId="5B84AC6C" w14:textId="77777777" w:rsidR="000814FB" w:rsidRPr="00DE1573" w:rsidRDefault="000814FB" w:rsidP="000814FB">
      <w:pPr>
        <w:ind w:left="1714"/>
      </w:pPr>
    </w:p>
    <w:p w14:paraId="0BD79350" w14:textId="77777777" w:rsidR="000814FB" w:rsidRPr="00DE1573" w:rsidRDefault="000814FB" w:rsidP="000814FB">
      <w:pPr>
        <w:ind w:left="1714"/>
      </w:pPr>
    </w:p>
    <w:tbl>
      <w:tblPr>
        <w:tblStyle w:val="TableGrid"/>
        <w:tblW w:w="0" w:type="auto"/>
        <w:tblLook w:val="04A0" w:firstRow="1" w:lastRow="0" w:firstColumn="1" w:lastColumn="0" w:noHBand="0" w:noVBand="1"/>
      </w:tblPr>
      <w:tblGrid>
        <w:gridCol w:w="9576"/>
      </w:tblGrid>
      <w:tr w:rsidR="000814FB" w:rsidRPr="00DE1573" w14:paraId="588BA059" w14:textId="77777777" w:rsidTr="007F12FF">
        <w:tc>
          <w:tcPr>
            <w:tcW w:w="9576" w:type="dxa"/>
          </w:tcPr>
          <w:p w14:paraId="683B2300" w14:textId="77777777" w:rsidR="000814FB" w:rsidRPr="00DE1573" w:rsidRDefault="000814FB" w:rsidP="000814FB">
            <w:pPr>
              <w:jc w:val="center"/>
              <w:rPr>
                <w:b/>
                <w:u w:val="single"/>
              </w:rPr>
            </w:pPr>
            <w:r w:rsidRPr="00DE1573">
              <w:rPr>
                <w:b/>
                <w:u w:val="single"/>
              </w:rPr>
              <w:t>FACT SHEET</w:t>
            </w:r>
          </w:p>
          <w:p w14:paraId="3FBAA705" w14:textId="77777777" w:rsidR="000814FB" w:rsidRPr="00DE1573" w:rsidRDefault="000814FB" w:rsidP="000814FB">
            <w:pPr>
              <w:jc w:val="center"/>
              <w:rPr>
                <w:b/>
                <w:u w:val="single"/>
              </w:rPr>
            </w:pPr>
            <w:r w:rsidRPr="00DE1573">
              <w:rPr>
                <w:b/>
                <w:u w:val="single"/>
              </w:rPr>
              <w:t xml:space="preserve">Sulfur Fire at the </w:t>
            </w:r>
            <w:proofErr w:type="spellStart"/>
            <w:r w:rsidRPr="00DE1573">
              <w:rPr>
                <w:b/>
                <w:u w:val="single"/>
              </w:rPr>
              <w:t>Mishraq</w:t>
            </w:r>
            <w:proofErr w:type="spellEnd"/>
            <w:r w:rsidRPr="00DE1573">
              <w:rPr>
                <w:b/>
                <w:u w:val="single"/>
              </w:rPr>
              <w:t xml:space="preserve"> State Sulfur Mine Near Mosul, Iraq</w:t>
            </w:r>
          </w:p>
          <w:p w14:paraId="76A6337E" w14:textId="77777777" w:rsidR="000814FB" w:rsidRPr="00DE1573" w:rsidRDefault="000814FB" w:rsidP="000814FB">
            <w:pPr>
              <w:shd w:val="clear" w:color="auto" w:fill="C0C0C0"/>
              <w:spacing w:before="240" w:after="60"/>
              <w:jc w:val="center"/>
              <w:outlineLvl w:val="8"/>
              <w:rPr>
                <w:rFonts w:ascii="Arial" w:hAnsi="Arial" w:cs="Arial"/>
                <w:b/>
                <w:i/>
                <w:sz w:val="18"/>
              </w:rPr>
            </w:pPr>
            <w:r w:rsidRPr="00DE1573">
              <w:rPr>
                <w:rFonts w:ascii="Arial" w:hAnsi="Arial" w:cs="Arial"/>
                <w:b/>
                <w:i/>
                <w:sz w:val="18"/>
              </w:rPr>
              <w:t>NOTICE TO VA EXAMINERS</w:t>
            </w:r>
          </w:p>
          <w:p w14:paraId="61127051" w14:textId="77777777" w:rsidR="000814FB" w:rsidRPr="00DE1573" w:rsidRDefault="000814FB" w:rsidP="000814FB">
            <w:pPr>
              <w:shd w:val="clear" w:color="auto" w:fill="C0C0C0"/>
              <w:spacing w:before="240" w:after="60"/>
              <w:jc w:val="center"/>
              <w:outlineLvl w:val="8"/>
              <w:rPr>
                <w:rFonts w:ascii="Arial" w:hAnsi="Arial" w:cs="Arial"/>
                <w:b/>
                <w:i/>
                <w:sz w:val="18"/>
              </w:rPr>
            </w:pPr>
            <w:r w:rsidRPr="00DE1573">
              <w:rPr>
                <w:rFonts w:ascii="Arial" w:hAnsi="Arial" w:cs="Arial"/>
                <w:b/>
                <w:i/>
                <w:sz w:val="18"/>
              </w:rPr>
              <w:t>VA Considers this Veteran Exposed to Sulfur Dioxide and Hydrogen Sulfide</w:t>
            </w:r>
          </w:p>
          <w:p w14:paraId="1B6BC3E5" w14:textId="77777777" w:rsidR="000814FB" w:rsidRPr="00DE1573" w:rsidRDefault="000814FB" w:rsidP="000814FB">
            <w:pPr>
              <w:spacing w:after="240"/>
              <w:outlineLvl w:val="0"/>
              <w:rPr>
                <w:rFonts w:ascii="Arial" w:hAnsi="Arial" w:cs="Arial"/>
                <w:color w:val="auto"/>
                <w:szCs w:val="20"/>
              </w:rPr>
            </w:pPr>
          </w:p>
          <w:p w14:paraId="1046F452" w14:textId="77777777" w:rsidR="000814FB" w:rsidRPr="00DE1573" w:rsidRDefault="000814FB" w:rsidP="000814FB">
            <w:pPr>
              <w:spacing w:after="240"/>
              <w:outlineLvl w:val="0"/>
              <w:rPr>
                <w:rFonts w:ascii="Arial" w:hAnsi="Arial" w:cs="Arial"/>
                <w:color w:val="auto"/>
                <w:szCs w:val="20"/>
              </w:rPr>
            </w:pPr>
            <w:r w:rsidRPr="00DE1573">
              <w:rPr>
                <w:rFonts w:ascii="Arial" w:hAnsi="Arial" w:cs="Arial"/>
                <w:color w:val="auto"/>
                <w:szCs w:val="20"/>
              </w:rPr>
              <w:t xml:space="preserve">In June 2003, a fire ignited at the </w:t>
            </w:r>
            <w:proofErr w:type="spellStart"/>
            <w:r w:rsidRPr="00DE1573">
              <w:rPr>
                <w:rFonts w:ascii="Arial" w:hAnsi="Arial" w:cs="Arial"/>
                <w:color w:val="auto"/>
                <w:szCs w:val="20"/>
              </w:rPr>
              <w:t>Mishraq</w:t>
            </w:r>
            <w:proofErr w:type="spellEnd"/>
            <w:r w:rsidRPr="00DE1573">
              <w:rPr>
                <w:rFonts w:ascii="Arial" w:hAnsi="Arial" w:cs="Arial"/>
                <w:color w:val="auto"/>
                <w:szCs w:val="20"/>
              </w:rPr>
              <w:t xml:space="preserve"> State Sulfur Mine in northern Iraq.  The sulfur mine is the largest in the world and resulted in the largest manmade sulfur fire in recorded history.  It burned for approximately 3 weeks and caused the release of roughly 42 million pounds of sulfur dioxide (SO2) per day; hydrogen sulfide (H2S) was also released.    </w:t>
            </w:r>
          </w:p>
          <w:p w14:paraId="0D17B640" w14:textId="77777777" w:rsidR="000814FB" w:rsidRPr="00DE1573" w:rsidRDefault="000814FB" w:rsidP="000814FB">
            <w:pPr>
              <w:tabs>
                <w:tab w:val="left" w:pos="540"/>
              </w:tabs>
              <w:ind w:right="468"/>
              <w:rPr>
                <w:rFonts w:ascii="Arial" w:hAnsi="Arial" w:cs="Arial"/>
              </w:rPr>
            </w:pPr>
            <w:r w:rsidRPr="00DE1573">
              <w:rPr>
                <w:rFonts w:ascii="Arial" w:hAnsi="Arial" w:cs="Arial"/>
                <w:szCs w:val="22"/>
              </w:rPr>
              <w:t xml:space="preserve">In early 2007, medical personnel from the </w:t>
            </w:r>
            <w:r w:rsidRPr="00DE1573">
              <w:rPr>
                <w:rFonts w:ascii="Arial" w:hAnsi="Arial" w:cs="Arial"/>
              </w:rPr>
              <w:t>U.S. Army Center for Health Promotion and Preventative Medicine</w:t>
            </w:r>
            <w:r w:rsidRPr="00DE1573">
              <w:rPr>
                <w:rFonts w:ascii="Arial" w:hAnsi="Arial" w:cs="Arial"/>
                <w:szCs w:val="22"/>
              </w:rPr>
              <w:t xml:space="preserve"> visited Ft Campbell, Kentucky, which is the U.S. home base for the 101</w:t>
            </w:r>
            <w:r w:rsidRPr="00DE1573">
              <w:rPr>
                <w:rFonts w:ascii="Arial" w:hAnsi="Arial" w:cs="Arial"/>
                <w:szCs w:val="22"/>
                <w:vertAlign w:val="superscript"/>
              </w:rPr>
              <w:t>st</w:t>
            </w:r>
            <w:r w:rsidRPr="00DE1573">
              <w:rPr>
                <w:rFonts w:ascii="Arial" w:hAnsi="Arial" w:cs="Arial"/>
                <w:szCs w:val="22"/>
              </w:rPr>
              <w:t xml:space="preserve"> Airborne Division.  Members of the 101st were firefighters at the </w:t>
            </w:r>
            <w:proofErr w:type="spellStart"/>
            <w:r w:rsidRPr="00DE1573">
              <w:rPr>
                <w:rFonts w:ascii="Arial" w:hAnsi="Arial" w:cs="Arial"/>
                <w:bCs/>
              </w:rPr>
              <w:t>Mishraq</w:t>
            </w:r>
            <w:proofErr w:type="spellEnd"/>
            <w:r w:rsidRPr="00DE1573">
              <w:rPr>
                <w:rFonts w:ascii="Arial" w:hAnsi="Arial" w:cs="Arial"/>
                <w:bCs/>
              </w:rPr>
              <w:t xml:space="preserve"> State Sulfur Mine fire.  The medical personnel</w:t>
            </w:r>
            <w:r w:rsidRPr="00DE1573">
              <w:rPr>
                <w:rFonts w:ascii="Arial" w:hAnsi="Arial" w:cs="Arial"/>
                <w:bCs/>
                <w:szCs w:val="22"/>
              </w:rPr>
              <w:t xml:space="preserve"> </w:t>
            </w:r>
            <w:r w:rsidRPr="00DE1573">
              <w:rPr>
                <w:rFonts w:ascii="Arial" w:hAnsi="Arial" w:cs="Arial"/>
                <w:szCs w:val="22"/>
              </w:rPr>
              <w:t xml:space="preserve">learned that from late 2004 through February 2007, 41 soldiers, citing exposures to the sulfur fire and reporting unexplained shortness of breath on exertion, had been referred by the </w:t>
            </w:r>
            <w:proofErr w:type="spellStart"/>
            <w:r w:rsidRPr="00DE1573">
              <w:rPr>
                <w:rFonts w:ascii="Arial" w:hAnsi="Arial" w:cs="Arial"/>
                <w:szCs w:val="22"/>
              </w:rPr>
              <w:t>Blanchfield</w:t>
            </w:r>
            <w:proofErr w:type="spellEnd"/>
            <w:r w:rsidRPr="00DE1573">
              <w:rPr>
                <w:rFonts w:ascii="Arial" w:hAnsi="Arial" w:cs="Arial"/>
                <w:szCs w:val="22"/>
              </w:rPr>
              <w:t xml:space="preserve"> Medical Center to a pulmonary specialist at the Vanderbilt Medical Center.  As of February 2007, nineteen (19) personnel had an open lung biopsy and were all diagnosed with constrictive bronchiolitis.  Constrictive bronchiolitis is an inflammatory and fibrotic lesion of the terminal bronchioles of the lungs.  This diagnosis is very uncommon and has been associated with inhalation exposures, organ transplantation, certain drugs, and collagen vascular disorders.  Individuals with this finding typically have shortness of breath on exertion, but may have normal chest X-rays and inconclusive findings on pulmonary function testing.  Due to some similarities, symptoms of constrictive bronchiolitis may be attributed to asthma or chronic obstructive pulmonary disease (COPD).</w:t>
            </w:r>
          </w:p>
          <w:p w14:paraId="61B75B29" w14:textId="77777777" w:rsidR="000814FB" w:rsidRPr="00DE1573" w:rsidRDefault="000814FB" w:rsidP="000814FB">
            <w:pPr>
              <w:tabs>
                <w:tab w:val="left" w:pos="540"/>
              </w:tabs>
              <w:ind w:right="468"/>
              <w:rPr>
                <w:rFonts w:ascii="Arial" w:hAnsi="Arial" w:cs="Arial"/>
              </w:rPr>
            </w:pPr>
          </w:p>
          <w:p w14:paraId="523130A6" w14:textId="77777777" w:rsidR="000814FB" w:rsidRPr="00DE1573" w:rsidRDefault="000814FB" w:rsidP="000814FB">
            <w:pPr>
              <w:tabs>
                <w:tab w:val="left" w:pos="540"/>
              </w:tabs>
              <w:ind w:right="468"/>
              <w:rPr>
                <w:rFonts w:ascii="Arial" w:hAnsi="Arial" w:cs="Arial"/>
              </w:rPr>
            </w:pPr>
            <w:r w:rsidRPr="00DE1573">
              <w:rPr>
                <w:rFonts w:ascii="Arial" w:hAnsi="Arial" w:cs="Arial"/>
              </w:rPr>
              <w:t xml:space="preserve">Examiners may have a difficult time evaluating this population.  In most cases, the affected soldiers are comfortable at rest and are able to perform the activities of daily living.  They have normal or near normal pulmonary function tests, but at the same time they become short of breath on slight physical exertion, cannot meet physical training requirements, and are considered unfit for deployment.  This </w:t>
            </w:r>
            <w:r w:rsidRPr="00DE1573">
              <w:rPr>
                <w:rFonts w:ascii="Arial" w:hAnsi="Arial" w:cs="Arial"/>
              </w:rPr>
              <w:lastRenderedPageBreak/>
              <w:t xml:space="preserve">unique circumstance challenges those who must determine a disability rating. </w:t>
            </w:r>
          </w:p>
          <w:p w14:paraId="44243AB4" w14:textId="77777777" w:rsidR="000814FB" w:rsidRPr="00DE1573" w:rsidRDefault="000814FB" w:rsidP="000814FB">
            <w:pPr>
              <w:tabs>
                <w:tab w:val="left" w:pos="540"/>
              </w:tabs>
              <w:ind w:right="468"/>
              <w:rPr>
                <w:rFonts w:ascii="Arial" w:hAnsi="Arial" w:cs="Arial"/>
              </w:rPr>
            </w:pPr>
          </w:p>
          <w:p w14:paraId="3CECE288" w14:textId="77777777" w:rsidR="000814FB" w:rsidRPr="00DE1573" w:rsidRDefault="000814FB" w:rsidP="000814FB">
            <w:pPr>
              <w:tabs>
                <w:tab w:val="left" w:pos="540"/>
              </w:tabs>
              <w:ind w:right="468"/>
              <w:rPr>
                <w:rFonts w:ascii="Arial" w:hAnsi="Arial" w:cs="Arial"/>
              </w:rPr>
            </w:pPr>
            <w:r w:rsidRPr="00DE1573">
              <w:rPr>
                <w:rFonts w:ascii="Arial" w:hAnsi="Arial" w:cs="Arial"/>
                <w:szCs w:val="22"/>
              </w:rPr>
              <w:t xml:space="preserve">While individual exposure levels cannot be accurately determined, DoD considers constrictive bronchiolitis (initially diagnosed as “bronchiolitis obliterans”) to be plausibly associated with exposure to the 2003 </w:t>
            </w:r>
            <w:proofErr w:type="spellStart"/>
            <w:r w:rsidRPr="00DE1573">
              <w:rPr>
                <w:rFonts w:ascii="Arial" w:hAnsi="Arial" w:cs="Arial"/>
                <w:szCs w:val="22"/>
              </w:rPr>
              <w:t>Mishraq</w:t>
            </w:r>
            <w:proofErr w:type="spellEnd"/>
            <w:r w:rsidRPr="00DE1573">
              <w:rPr>
                <w:rFonts w:ascii="Arial" w:hAnsi="Arial" w:cs="Arial"/>
                <w:szCs w:val="22"/>
              </w:rPr>
              <w:t xml:space="preserve"> State sulfur fire event.  This health effect has been scientifically associated with high exposures to </w:t>
            </w:r>
            <w:proofErr w:type="gramStart"/>
            <w:r w:rsidRPr="00DE1573">
              <w:rPr>
                <w:rFonts w:ascii="Arial" w:hAnsi="Arial" w:cs="Arial"/>
                <w:szCs w:val="22"/>
              </w:rPr>
              <w:t>SO2</w:t>
            </w:r>
            <w:r w:rsidRPr="00DE1573">
              <w:rPr>
                <w:rFonts w:ascii="Arial" w:hAnsi="Arial" w:cs="Arial"/>
                <w:position w:val="-8"/>
                <w:szCs w:val="22"/>
                <w:vertAlign w:val="subscript"/>
              </w:rPr>
              <w:t xml:space="preserve"> </w:t>
            </w:r>
            <w:r w:rsidRPr="00DE1573">
              <w:rPr>
                <w:rFonts w:ascii="Arial" w:hAnsi="Arial" w:cs="Arial"/>
                <w:szCs w:val="22"/>
              </w:rPr>
              <w:t>.</w:t>
            </w:r>
            <w:proofErr w:type="gramEnd"/>
            <w:r w:rsidRPr="00DE1573">
              <w:rPr>
                <w:rFonts w:ascii="Arial" w:hAnsi="Arial" w:cs="Arial"/>
                <w:szCs w:val="22"/>
              </w:rPr>
              <w:t xml:space="preserve"> </w:t>
            </w:r>
          </w:p>
          <w:p w14:paraId="66BB5EC2" w14:textId="77777777" w:rsidR="000814FB" w:rsidRPr="00DE1573" w:rsidRDefault="000814FB" w:rsidP="000814FB">
            <w:pPr>
              <w:spacing w:after="120"/>
              <w:rPr>
                <w:rFonts w:ascii="Arial" w:hAnsi="Arial" w:cs="Arial"/>
                <w:bCs/>
              </w:rPr>
            </w:pPr>
          </w:p>
          <w:p w14:paraId="3D2F3322" w14:textId="77777777" w:rsidR="000814FB" w:rsidRPr="00DE1573" w:rsidRDefault="000814FB" w:rsidP="000814FB">
            <w:pPr>
              <w:spacing w:after="240"/>
              <w:outlineLvl w:val="0"/>
              <w:rPr>
                <w:rFonts w:ascii="Arial" w:hAnsi="Arial" w:cs="Arial"/>
                <w:color w:val="auto"/>
                <w:szCs w:val="20"/>
              </w:rPr>
            </w:pPr>
            <w:r w:rsidRPr="00DE1573">
              <w:rPr>
                <w:rFonts w:ascii="Arial" w:hAnsi="Arial" w:cs="Arial"/>
                <w:color w:val="auto"/>
                <w:szCs w:val="20"/>
              </w:rPr>
              <w:t xml:space="preserve">Both sulfur dioxide and hydrogen sulfide are gases that can produce irritation and reddening of the nose and throat, eye irritation/pain, and coughing.  At high levels, sulfur dioxide can burn the skin and can cause severe airway obstruction, hypoxemia, pulmonary edema, and even death.  The firefighters involved with suppressing this fire experienced irritation, minor burns, and other effects such as blood-tinged nasal mucous.  Some have been found to have long-term respiratory conditions such </w:t>
            </w:r>
            <w:proofErr w:type="gramStart"/>
            <w:r w:rsidRPr="00DE1573">
              <w:rPr>
                <w:rFonts w:ascii="Arial" w:hAnsi="Arial" w:cs="Arial"/>
                <w:color w:val="auto"/>
                <w:szCs w:val="20"/>
              </w:rPr>
              <w:t>as  “</w:t>
            </w:r>
            <w:proofErr w:type="gramEnd"/>
            <w:r w:rsidRPr="00DE1573">
              <w:rPr>
                <w:rFonts w:ascii="Arial" w:hAnsi="Arial" w:cs="Arial"/>
                <w:color w:val="auto"/>
                <w:szCs w:val="20"/>
              </w:rPr>
              <w:t xml:space="preserve">constrictive bronchiolitis.”      </w:t>
            </w:r>
          </w:p>
          <w:p w14:paraId="56C98674" w14:textId="77777777" w:rsidR="000814FB" w:rsidRPr="00DE1573" w:rsidRDefault="000814FB" w:rsidP="000814FB">
            <w:pPr>
              <w:tabs>
                <w:tab w:val="left" w:pos="540"/>
              </w:tabs>
              <w:ind w:right="468"/>
              <w:rPr>
                <w:rFonts w:ascii="Arial" w:hAnsi="Arial" w:cs="Arial"/>
                <w:b/>
                <w:sz w:val="20"/>
                <w:lang w:val="en"/>
              </w:rPr>
            </w:pPr>
            <w:r w:rsidRPr="00DE1573">
              <w:rPr>
                <w:rFonts w:ascii="Arial" w:hAnsi="Arial" w:cs="Arial"/>
                <w:b/>
              </w:rPr>
              <w:t>Note</w:t>
            </w:r>
            <w:r w:rsidRPr="00DE1573">
              <w:rPr>
                <w:rFonts w:ascii="Arial" w:hAnsi="Arial" w:cs="Arial"/>
                <w:bCs/>
              </w:rPr>
              <w:t>: If the claim is for a respiratory condition possibly related to the sulfur fire exposure consider requesting tests for “bronchiolitis” be conducted in addition to other respiratory testing, while noting that many standard test results may be normal.</w:t>
            </w:r>
            <w:r w:rsidRPr="00DE1573">
              <w:rPr>
                <w:rFonts w:ascii="Arial" w:hAnsi="Arial" w:cs="Arial"/>
                <w:b/>
                <w:sz w:val="20"/>
                <w:lang w:val="en"/>
              </w:rPr>
              <w:t xml:space="preserve"> </w:t>
            </w:r>
          </w:p>
          <w:p w14:paraId="0C37E796" w14:textId="77777777" w:rsidR="000814FB" w:rsidRPr="00DE1573" w:rsidRDefault="000814FB" w:rsidP="000814FB">
            <w:pPr>
              <w:tabs>
                <w:tab w:val="left" w:pos="540"/>
              </w:tabs>
              <w:ind w:right="468"/>
              <w:rPr>
                <w:rFonts w:ascii="Arial" w:hAnsi="Arial" w:cs="Arial"/>
                <w:bCs/>
              </w:rPr>
            </w:pPr>
          </w:p>
          <w:p w14:paraId="57BC17FE" w14:textId="77777777" w:rsidR="000814FB" w:rsidRPr="00DE1573" w:rsidRDefault="000814FB" w:rsidP="000814FB">
            <w:pPr>
              <w:rPr>
                <w:rFonts w:ascii="Arial" w:hAnsi="Arial" w:cs="Arial"/>
              </w:rPr>
            </w:pPr>
            <w:r w:rsidRPr="00DE1573">
              <w:rPr>
                <w:rFonts w:ascii="Arial" w:hAnsi="Arial" w:cs="Arial"/>
              </w:rPr>
              <w:t>This information is not meant to influence examiners rendering opinions concerning the etiology of any particular disability; but rather to ensure that such opinions are fully informed based on all known objective facts.  Therefore, when rendering opinions requested by rating authorities for a disability potentially related to such exposure, please utilize this information objectively and together with the remaining evidence, including lay evidence, in the Veteran’s record.</w:t>
            </w:r>
          </w:p>
          <w:p w14:paraId="65F15572" w14:textId="77777777" w:rsidR="000814FB" w:rsidRPr="00DE1573" w:rsidRDefault="000814FB" w:rsidP="000814FB">
            <w:pPr>
              <w:rPr>
                <w:rFonts w:ascii="Arial" w:hAnsi="Arial" w:cs="Arial"/>
              </w:rPr>
            </w:pPr>
          </w:p>
          <w:p w14:paraId="7667DF03" w14:textId="77777777" w:rsidR="000814FB" w:rsidRPr="00DE1573" w:rsidRDefault="000814FB" w:rsidP="000814FB">
            <w:pPr>
              <w:rPr>
                <w:rFonts w:ascii="Arial" w:hAnsi="Arial" w:cs="Arial"/>
              </w:rPr>
            </w:pPr>
          </w:p>
          <w:p w14:paraId="09E365D0" w14:textId="77777777" w:rsidR="000814FB" w:rsidRPr="00DE1573" w:rsidRDefault="000814FB" w:rsidP="000814FB">
            <w:pPr>
              <w:rPr>
                <w:rFonts w:ascii="Arial" w:hAnsi="Arial" w:cs="Arial"/>
              </w:rPr>
            </w:pP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t>_____________________</w:t>
            </w:r>
          </w:p>
          <w:p w14:paraId="7C36ACAF" w14:textId="3AFC644B" w:rsidR="000814FB" w:rsidRPr="00DE1573" w:rsidRDefault="00574E20" w:rsidP="000814FB">
            <w:pPr>
              <w:rPr>
                <w:rFonts w:ascii="Arial" w:hAnsi="Arial" w:cs="Arial"/>
              </w:rPr>
            </w:pP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t>Adjudication Authority</w:t>
            </w:r>
          </w:p>
        </w:tc>
      </w:tr>
    </w:tbl>
    <w:p w14:paraId="621233BF" w14:textId="1575F0E6" w:rsidR="00E475B3" w:rsidRPr="00DE1573" w:rsidRDefault="0088121C" w:rsidP="0088121C">
      <w:pPr>
        <w:tabs>
          <w:tab w:val="left" w:pos="9360"/>
        </w:tabs>
        <w:ind w:left="1714"/>
      </w:pPr>
      <w:r w:rsidRPr="00DE1573">
        <w:rPr>
          <w:u w:val="single"/>
        </w:rPr>
        <w:lastRenderedPageBreak/>
        <w:tab/>
      </w:r>
    </w:p>
    <w:p w14:paraId="68A75B2E" w14:textId="7761D351" w:rsidR="0088121C" w:rsidRPr="00DE1573" w:rsidRDefault="0088121C" w:rsidP="0088121C">
      <w:pPr>
        <w:ind w:left="1714"/>
      </w:pPr>
    </w:p>
    <w:p w14:paraId="7EF4C1EF" w14:textId="77777777" w:rsidR="0088121C" w:rsidRPr="00DE1573" w:rsidRDefault="0088121C" w:rsidP="0088121C"/>
    <w:p w14:paraId="66541AE3" w14:textId="77777777" w:rsidR="00E475B3" w:rsidRPr="00DE1573" w:rsidRDefault="00E475B3" w:rsidP="00C25BDC"/>
    <w:p w14:paraId="4D135CFD" w14:textId="4D8B5E3F" w:rsidR="000814FB" w:rsidRPr="00DE1573" w:rsidRDefault="000814FB">
      <w:r w:rsidRPr="00DE1573">
        <w:br w:type="page"/>
      </w:r>
    </w:p>
    <w:p w14:paraId="74EB1928" w14:textId="0ADA4CB5" w:rsidR="000814FB" w:rsidRPr="00DE1573" w:rsidRDefault="004E2FC4" w:rsidP="000814FB">
      <w:pPr>
        <w:rPr>
          <w:rFonts w:ascii="Arial" w:hAnsi="Arial" w:cs="Arial"/>
          <w:b/>
          <w:sz w:val="32"/>
          <w:szCs w:val="32"/>
        </w:rPr>
      </w:pPr>
      <w:r w:rsidRPr="00DE1573">
        <w:rPr>
          <w:rFonts w:ascii="Arial" w:hAnsi="Arial" w:cs="Arial"/>
          <w:b/>
          <w:sz w:val="32"/>
          <w:szCs w:val="32"/>
        </w:rPr>
        <w:lastRenderedPageBreak/>
        <w:t>1</w:t>
      </w:r>
      <w:r w:rsidR="00327641" w:rsidRPr="00DE1573">
        <w:rPr>
          <w:rFonts w:ascii="Arial" w:hAnsi="Arial" w:cs="Arial"/>
          <w:b/>
          <w:sz w:val="32"/>
          <w:szCs w:val="32"/>
        </w:rPr>
        <w:t>2</w:t>
      </w:r>
      <w:r w:rsidR="00EA57BB" w:rsidRPr="00DE1573">
        <w:rPr>
          <w:rFonts w:ascii="Arial" w:hAnsi="Arial" w:cs="Arial"/>
          <w:b/>
          <w:sz w:val="32"/>
          <w:szCs w:val="32"/>
        </w:rPr>
        <w:t>.  Exhibit 4:  Fact Sheet</w:t>
      </w:r>
      <w:r w:rsidR="000814FB" w:rsidRPr="00DE1573">
        <w:rPr>
          <w:rFonts w:ascii="Arial" w:hAnsi="Arial" w:cs="Arial"/>
          <w:b/>
          <w:sz w:val="32"/>
          <w:szCs w:val="32"/>
        </w:rPr>
        <w:t xml:space="preserve"> </w:t>
      </w:r>
      <w:proofErr w:type="spellStart"/>
      <w:r w:rsidR="000814FB" w:rsidRPr="00DE1573">
        <w:rPr>
          <w:rFonts w:ascii="Arial" w:hAnsi="Arial" w:cs="Arial"/>
          <w:b/>
          <w:sz w:val="32"/>
          <w:szCs w:val="32"/>
        </w:rPr>
        <w:t>Qarmat</w:t>
      </w:r>
      <w:proofErr w:type="spellEnd"/>
      <w:r w:rsidR="000814FB" w:rsidRPr="00DE1573">
        <w:rPr>
          <w:rFonts w:ascii="Arial" w:hAnsi="Arial" w:cs="Arial"/>
          <w:b/>
          <w:sz w:val="32"/>
          <w:szCs w:val="32"/>
        </w:rPr>
        <w:t xml:space="preserve"> Ali Water Treatment Plant in </w:t>
      </w:r>
      <w:proofErr w:type="spellStart"/>
      <w:r w:rsidR="000814FB" w:rsidRPr="00DE1573">
        <w:rPr>
          <w:rFonts w:ascii="Arial" w:hAnsi="Arial" w:cs="Arial"/>
          <w:b/>
          <w:sz w:val="32"/>
          <w:szCs w:val="32"/>
        </w:rPr>
        <w:t>Basrah</w:t>
      </w:r>
      <w:proofErr w:type="spellEnd"/>
      <w:r w:rsidR="000814FB" w:rsidRPr="00DE1573">
        <w:rPr>
          <w:rFonts w:ascii="Arial" w:hAnsi="Arial" w:cs="Arial"/>
          <w:b/>
          <w:sz w:val="32"/>
          <w:szCs w:val="32"/>
        </w:rPr>
        <w:t>, Iraq</w:t>
      </w:r>
    </w:p>
    <w:p w14:paraId="4F24E33A" w14:textId="3CFD57BB" w:rsidR="00D4684C" w:rsidRPr="00DE1573" w:rsidRDefault="00D4684C" w:rsidP="00D4684C">
      <w:pPr>
        <w:tabs>
          <w:tab w:val="left" w:pos="9360"/>
        </w:tabs>
        <w:ind w:left="1714"/>
      </w:pPr>
      <w:r w:rsidRPr="00DE1573">
        <w:rPr>
          <w:u w:val="single"/>
        </w:rPr>
        <w:tab/>
      </w:r>
    </w:p>
    <w:p w14:paraId="7EF13FC8" w14:textId="77777777" w:rsidR="00D4684C" w:rsidRPr="00DE1573" w:rsidRDefault="00D4684C" w:rsidP="00D4684C"/>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D4684C" w:rsidRPr="00DE1573" w14:paraId="40F9744A" w14:textId="77777777" w:rsidTr="00D4684C">
        <w:tc>
          <w:tcPr>
            <w:tcW w:w="1728" w:type="dxa"/>
            <w:shd w:val="clear" w:color="auto" w:fill="auto"/>
          </w:tcPr>
          <w:p w14:paraId="626DA95C" w14:textId="0828C888" w:rsidR="00D4684C" w:rsidRPr="00DE1573" w:rsidRDefault="00D4684C" w:rsidP="000814FB">
            <w:pPr>
              <w:tabs>
                <w:tab w:val="left" w:pos="9360"/>
              </w:tabs>
              <w:rPr>
                <w:b/>
                <w:sz w:val="22"/>
              </w:rPr>
            </w:pPr>
            <w:r w:rsidRPr="00DE1573">
              <w:rPr>
                <w:b/>
                <w:sz w:val="22"/>
              </w:rPr>
              <w:t>Change Date</w:t>
            </w:r>
          </w:p>
        </w:tc>
        <w:tc>
          <w:tcPr>
            <w:tcW w:w="7740" w:type="dxa"/>
            <w:shd w:val="clear" w:color="auto" w:fill="auto"/>
          </w:tcPr>
          <w:p w14:paraId="240723E9" w14:textId="0C6EFC7A" w:rsidR="00D4684C" w:rsidRPr="00DE1573" w:rsidRDefault="00D4684C" w:rsidP="000814FB">
            <w:pPr>
              <w:tabs>
                <w:tab w:val="left" w:pos="9360"/>
              </w:tabs>
            </w:pPr>
            <w:r w:rsidRPr="00DE1573">
              <w:t>August 7, 2015</w:t>
            </w:r>
          </w:p>
        </w:tc>
      </w:tr>
    </w:tbl>
    <w:p w14:paraId="7A30FF93" w14:textId="75336133" w:rsidR="000814FB" w:rsidRPr="00DE1573" w:rsidRDefault="000814FB" w:rsidP="000814FB">
      <w:pPr>
        <w:tabs>
          <w:tab w:val="left" w:pos="9360"/>
        </w:tabs>
        <w:ind w:left="1714"/>
        <w:rPr>
          <w:u w:val="single"/>
        </w:rPr>
      </w:pPr>
      <w:r w:rsidRPr="00DE1573">
        <w:rPr>
          <w:u w:val="single"/>
        </w:rPr>
        <w:tab/>
      </w:r>
    </w:p>
    <w:p w14:paraId="78B7A548" w14:textId="77777777" w:rsidR="00F35F0E" w:rsidRPr="00DE1573" w:rsidRDefault="00F35F0E" w:rsidP="000814FB">
      <w:pPr>
        <w:tabs>
          <w:tab w:val="left" w:pos="9360"/>
        </w:tabs>
        <w:ind w:left="17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814FB" w:rsidRPr="00DE1573" w14:paraId="31621633" w14:textId="77777777" w:rsidTr="007F12FF">
        <w:tc>
          <w:tcPr>
            <w:tcW w:w="1728" w:type="dxa"/>
            <w:shd w:val="clear" w:color="auto" w:fill="auto"/>
          </w:tcPr>
          <w:p w14:paraId="3D25A36D" w14:textId="6CA38CEB" w:rsidR="000814FB" w:rsidRPr="00DE1573" w:rsidRDefault="00D4684C" w:rsidP="00D4684C">
            <w:pPr>
              <w:rPr>
                <w:b/>
              </w:rPr>
            </w:pPr>
            <w:r w:rsidRPr="00DE1573">
              <w:rPr>
                <w:b/>
                <w:sz w:val="22"/>
                <w:szCs w:val="22"/>
              </w:rPr>
              <w:t xml:space="preserve">a.  </w:t>
            </w:r>
            <w:r w:rsidR="000814FB" w:rsidRPr="00DE1573">
              <w:rPr>
                <w:b/>
                <w:sz w:val="22"/>
                <w:szCs w:val="22"/>
              </w:rPr>
              <w:t>F</w:t>
            </w:r>
            <w:r w:rsidRPr="00DE1573">
              <w:rPr>
                <w:b/>
                <w:sz w:val="22"/>
                <w:szCs w:val="22"/>
              </w:rPr>
              <w:t xml:space="preserve">act Sheet: </w:t>
            </w:r>
            <w:proofErr w:type="spellStart"/>
            <w:r w:rsidRPr="00DE1573">
              <w:rPr>
                <w:b/>
                <w:sz w:val="22"/>
                <w:szCs w:val="22"/>
              </w:rPr>
              <w:t>Qarmat</w:t>
            </w:r>
            <w:proofErr w:type="spellEnd"/>
            <w:r w:rsidRPr="00DE1573">
              <w:rPr>
                <w:b/>
                <w:sz w:val="22"/>
                <w:szCs w:val="22"/>
              </w:rPr>
              <w:t xml:space="preserve"> Ali Water Treatment Plant</w:t>
            </w:r>
            <w:r w:rsidRPr="00DE1573">
              <w:rPr>
                <w:b/>
              </w:rPr>
              <w:t xml:space="preserve"> </w:t>
            </w:r>
          </w:p>
        </w:tc>
        <w:tc>
          <w:tcPr>
            <w:tcW w:w="7740" w:type="dxa"/>
            <w:shd w:val="clear" w:color="auto" w:fill="auto"/>
          </w:tcPr>
          <w:p w14:paraId="67FB5E6B" w14:textId="77777777" w:rsidR="000814FB" w:rsidRPr="00DE1573" w:rsidRDefault="000814FB" w:rsidP="007F12FF">
            <w:r w:rsidRPr="00DE1573">
              <w:rPr>
                <w:i/>
              </w:rPr>
              <w:t xml:space="preserve">Fact Sheet for Claims of Exposure Based on the </w:t>
            </w:r>
            <w:proofErr w:type="spellStart"/>
            <w:r w:rsidRPr="00DE1573">
              <w:rPr>
                <w:i/>
              </w:rPr>
              <w:t>Qarmat</w:t>
            </w:r>
            <w:proofErr w:type="spellEnd"/>
            <w:r w:rsidRPr="00DE1573">
              <w:rPr>
                <w:i/>
              </w:rPr>
              <w:t xml:space="preserve"> Ali Water Treatment Plant in </w:t>
            </w:r>
            <w:proofErr w:type="spellStart"/>
            <w:r w:rsidRPr="00DE1573">
              <w:rPr>
                <w:i/>
              </w:rPr>
              <w:t>Basrah</w:t>
            </w:r>
            <w:proofErr w:type="spellEnd"/>
            <w:r w:rsidRPr="00DE1573">
              <w:rPr>
                <w:i/>
              </w:rPr>
              <w:t>, Iraq</w:t>
            </w:r>
            <w:r w:rsidRPr="00DE1573">
              <w:t>, is shown below.</w:t>
            </w:r>
          </w:p>
        </w:tc>
      </w:tr>
    </w:tbl>
    <w:p w14:paraId="1AFA6883" w14:textId="77777777" w:rsidR="000814FB" w:rsidRPr="00DE1573" w:rsidRDefault="000814FB" w:rsidP="000814FB">
      <w:pPr>
        <w:rPr>
          <w:b/>
        </w:rPr>
      </w:pPr>
    </w:p>
    <w:tbl>
      <w:tblPr>
        <w:tblStyle w:val="TableGrid"/>
        <w:tblW w:w="0" w:type="auto"/>
        <w:tblLook w:val="04A0" w:firstRow="1" w:lastRow="0" w:firstColumn="1" w:lastColumn="0" w:noHBand="0" w:noVBand="1"/>
      </w:tblPr>
      <w:tblGrid>
        <w:gridCol w:w="9576"/>
      </w:tblGrid>
      <w:tr w:rsidR="000814FB" w:rsidRPr="00DE1573" w14:paraId="03625722" w14:textId="77777777" w:rsidTr="007F12FF">
        <w:tc>
          <w:tcPr>
            <w:tcW w:w="9576" w:type="dxa"/>
          </w:tcPr>
          <w:p w14:paraId="13883618" w14:textId="77777777" w:rsidR="000814FB" w:rsidRPr="00DE1573" w:rsidRDefault="000814FB" w:rsidP="007F12FF">
            <w:pPr>
              <w:jc w:val="center"/>
              <w:rPr>
                <w:b/>
                <w:u w:val="single"/>
              </w:rPr>
            </w:pPr>
            <w:r w:rsidRPr="00DE1573">
              <w:rPr>
                <w:b/>
                <w:u w:val="single"/>
              </w:rPr>
              <w:t>FACT SHEET</w:t>
            </w:r>
          </w:p>
          <w:p w14:paraId="6B8FFBA7" w14:textId="77777777" w:rsidR="000814FB" w:rsidRPr="00DE1573" w:rsidRDefault="000814FB" w:rsidP="007F12FF">
            <w:pPr>
              <w:jc w:val="center"/>
              <w:rPr>
                <w:b/>
                <w:u w:val="single"/>
              </w:rPr>
            </w:pPr>
            <w:proofErr w:type="spellStart"/>
            <w:r w:rsidRPr="00DE1573">
              <w:rPr>
                <w:b/>
                <w:u w:val="single"/>
              </w:rPr>
              <w:t>Qarmat</w:t>
            </w:r>
            <w:proofErr w:type="spellEnd"/>
            <w:r w:rsidRPr="00DE1573">
              <w:rPr>
                <w:b/>
                <w:u w:val="single"/>
              </w:rPr>
              <w:t xml:space="preserve"> Ali Water Treatment Plant in </w:t>
            </w:r>
            <w:proofErr w:type="spellStart"/>
            <w:r w:rsidRPr="00DE1573">
              <w:rPr>
                <w:b/>
                <w:u w:val="single"/>
              </w:rPr>
              <w:t>Basrah</w:t>
            </w:r>
            <w:proofErr w:type="spellEnd"/>
            <w:r w:rsidRPr="00DE1573">
              <w:rPr>
                <w:b/>
                <w:u w:val="single"/>
              </w:rPr>
              <w:t>, Iraq</w:t>
            </w:r>
          </w:p>
          <w:p w14:paraId="0DB613B5" w14:textId="77777777" w:rsidR="000814FB" w:rsidRPr="00DE1573" w:rsidRDefault="000814FB" w:rsidP="007F12FF">
            <w:pPr>
              <w:pStyle w:val="Heading9"/>
              <w:shd w:val="clear" w:color="auto" w:fill="C0C0C0"/>
              <w:jc w:val="center"/>
              <w:rPr>
                <w:rFonts w:cs="Arial"/>
              </w:rPr>
            </w:pPr>
            <w:r w:rsidRPr="00DE1573">
              <w:rPr>
                <w:rFonts w:cs="Arial"/>
              </w:rPr>
              <w:t>NOTICE TO VA EXAMINERS</w:t>
            </w:r>
          </w:p>
          <w:p w14:paraId="1D1EB8BC" w14:textId="77777777" w:rsidR="000814FB" w:rsidRPr="00DE1573" w:rsidRDefault="000814FB" w:rsidP="007F12FF">
            <w:pPr>
              <w:pStyle w:val="Heading9"/>
              <w:shd w:val="clear" w:color="auto" w:fill="C0C0C0"/>
              <w:jc w:val="center"/>
              <w:rPr>
                <w:rFonts w:cs="Arial"/>
              </w:rPr>
            </w:pPr>
            <w:r w:rsidRPr="00DE1573">
              <w:rPr>
                <w:rFonts w:cs="Arial"/>
              </w:rPr>
              <w:t>VBA Considers this Veteran Exposed to Hexavalent Chromium</w:t>
            </w:r>
          </w:p>
          <w:p w14:paraId="3EA1BDB1" w14:textId="77777777" w:rsidR="000814FB" w:rsidRPr="00DE1573" w:rsidRDefault="000814FB" w:rsidP="007F12FF">
            <w:pPr>
              <w:rPr>
                <w:rFonts w:ascii="Arial" w:hAnsi="Arial" w:cs="Arial"/>
              </w:rPr>
            </w:pPr>
          </w:p>
          <w:p w14:paraId="5DF70E62" w14:textId="77777777" w:rsidR="000814FB" w:rsidRPr="00DE1573" w:rsidRDefault="000814FB" w:rsidP="007F12FF">
            <w:pPr>
              <w:rPr>
                <w:rFonts w:ascii="Arial" w:hAnsi="Arial" w:cs="Arial"/>
              </w:rPr>
            </w:pPr>
            <w:r w:rsidRPr="00DE1573">
              <w:rPr>
                <w:rFonts w:ascii="Arial" w:hAnsi="Arial" w:cs="Arial"/>
              </w:rPr>
              <w:t xml:space="preserve">From approximately April through September of 2003, Army National Guard (NG) personnel from Indiana, West Virginia, South Carolina, and Oregon operated at the </w:t>
            </w:r>
            <w:proofErr w:type="spellStart"/>
            <w:r w:rsidRPr="00DE1573">
              <w:rPr>
                <w:rFonts w:ascii="Arial" w:hAnsi="Arial" w:cs="Arial"/>
              </w:rPr>
              <w:t>Qarmat</w:t>
            </w:r>
            <w:proofErr w:type="spellEnd"/>
            <w:r w:rsidRPr="00DE1573">
              <w:rPr>
                <w:rFonts w:ascii="Arial" w:hAnsi="Arial" w:cs="Arial"/>
              </w:rPr>
              <w:t xml:space="preserve"> Ali Water Treatment Plant in </w:t>
            </w:r>
            <w:proofErr w:type="spellStart"/>
            <w:r w:rsidRPr="00DE1573">
              <w:rPr>
                <w:rFonts w:ascii="Arial" w:hAnsi="Arial" w:cs="Arial"/>
              </w:rPr>
              <w:t>Basrah</w:t>
            </w:r>
            <w:proofErr w:type="spellEnd"/>
            <w:r w:rsidRPr="00DE1573">
              <w:rPr>
                <w:rFonts w:ascii="Arial" w:hAnsi="Arial" w:cs="Arial"/>
              </w:rPr>
              <w:t xml:space="preserve">, Iraq.  They were assigned to guard contract workers who were restoring the plant.  During that time, sodium dichromate, a source of hexavalent chromium was found on the ground and measured in the air.  Hexavalent </w:t>
            </w:r>
            <w:proofErr w:type="gramStart"/>
            <w:r w:rsidRPr="00DE1573">
              <w:rPr>
                <w:rFonts w:ascii="Arial" w:hAnsi="Arial" w:cs="Arial"/>
              </w:rPr>
              <w:t>chromium,</w:t>
            </w:r>
            <w:proofErr w:type="gramEnd"/>
            <w:r w:rsidRPr="00DE1573">
              <w:rPr>
                <w:rFonts w:ascii="Arial" w:hAnsi="Arial" w:cs="Arial"/>
              </w:rPr>
              <w:t xml:space="preserve"> or Chromium VI (six), in sodium dichromate is a lung carcinogen through inhalation.  Chromium VI is also an acidic compound that can cause immediate irritation of the eyes, nose, sinuses, lungs, and skin.  </w:t>
            </w:r>
          </w:p>
          <w:p w14:paraId="69EFB2B2" w14:textId="77777777" w:rsidR="000814FB" w:rsidRPr="00DE1573" w:rsidRDefault="000814FB" w:rsidP="007F12FF">
            <w:pPr>
              <w:rPr>
                <w:rFonts w:ascii="Arial" w:hAnsi="Arial" w:cs="Arial"/>
              </w:rPr>
            </w:pPr>
          </w:p>
          <w:p w14:paraId="2BA7427D" w14:textId="77777777" w:rsidR="000814FB" w:rsidRPr="00DE1573" w:rsidRDefault="000814FB" w:rsidP="007F12FF">
            <w:pPr>
              <w:rPr>
                <w:rFonts w:ascii="Arial" w:hAnsi="Arial" w:cs="Arial"/>
              </w:rPr>
            </w:pPr>
            <w:r w:rsidRPr="00DE1573">
              <w:rPr>
                <w:rFonts w:ascii="Arial" w:hAnsi="Arial" w:cs="Arial"/>
              </w:rPr>
              <w:t>DoD provided a medical evaluation for certain soldiers there at the time, which took place in October 2003.  Accordingly, 137 service members were evaluated.  The results at the time showed some abnormalities in individuals, such as complaints of eye, nose, throat and/or lung irritation, or abnormal pulmonary function, kidney, or liver tests.  However, the Army stated that it could not specifically trace these symptoms to chromium exposure.</w:t>
            </w:r>
          </w:p>
          <w:p w14:paraId="4AAE777F" w14:textId="77777777" w:rsidR="000814FB" w:rsidRPr="00DE1573" w:rsidRDefault="000814FB" w:rsidP="007F12FF">
            <w:pPr>
              <w:rPr>
                <w:rFonts w:ascii="Arial" w:hAnsi="Arial" w:cs="Arial"/>
                <w:bCs/>
                <w:lang w:val="en"/>
              </w:rPr>
            </w:pPr>
          </w:p>
          <w:p w14:paraId="222B24EC" w14:textId="77777777" w:rsidR="000814FB" w:rsidRPr="00DE1573" w:rsidRDefault="000814FB" w:rsidP="007F12FF">
            <w:pPr>
              <w:pStyle w:val="VBASubtitle2"/>
              <w:overflowPunct/>
              <w:autoSpaceDE/>
              <w:autoSpaceDN/>
              <w:adjustRightInd/>
              <w:textAlignment w:val="auto"/>
              <w:rPr>
                <w:rFonts w:ascii="Arial" w:hAnsi="Arial" w:cs="Arial"/>
                <w:b w:val="0"/>
                <w:szCs w:val="24"/>
              </w:rPr>
            </w:pPr>
            <w:r w:rsidRPr="00DE1573">
              <w:rPr>
                <w:rFonts w:ascii="Arial" w:hAnsi="Arial" w:cs="Arial"/>
                <w:b w:val="0"/>
                <w:szCs w:val="24"/>
              </w:rPr>
              <w:t xml:space="preserve">The Veterans Health Administration (VHA) has begun to augment the Gulf War Registry to reflect service at </w:t>
            </w:r>
            <w:proofErr w:type="spellStart"/>
            <w:r w:rsidRPr="00DE1573">
              <w:rPr>
                <w:rFonts w:ascii="Arial" w:hAnsi="Arial" w:cs="Arial"/>
                <w:b w:val="0"/>
                <w:szCs w:val="24"/>
              </w:rPr>
              <w:t>Qarmat</w:t>
            </w:r>
            <w:proofErr w:type="spellEnd"/>
            <w:r w:rsidRPr="00DE1573">
              <w:rPr>
                <w:rFonts w:ascii="Arial" w:hAnsi="Arial" w:cs="Arial"/>
                <w:b w:val="0"/>
                <w:szCs w:val="24"/>
              </w:rPr>
              <w:t xml:space="preserve"> Ali.  VHA is verifying the numbers of these Veterans who have either enrolled in care or received a Gulf War Registry examination.  The involved Guard members who have had an initial examination will be recalled to have a complete exposure assessment as well as a more targeted physical examination and ancillary testing to detect indications of health outcomes that may be related to hexavalent Chromium.  The Veteran, whose case you are reviewing, may or may not have completed this type of examination.  Therefore, please be sure to review any such records if they exist in the VHA health record system for this Veteran.    </w:t>
            </w:r>
          </w:p>
          <w:p w14:paraId="6C3426C8" w14:textId="77777777" w:rsidR="000814FB" w:rsidRPr="00DE1573" w:rsidRDefault="000814FB" w:rsidP="007F12FF">
            <w:pPr>
              <w:pStyle w:val="VBASubtitle2"/>
              <w:overflowPunct/>
              <w:autoSpaceDE/>
              <w:autoSpaceDN/>
              <w:adjustRightInd/>
              <w:textAlignment w:val="auto"/>
              <w:rPr>
                <w:rFonts w:ascii="Arial" w:hAnsi="Arial" w:cs="Arial"/>
                <w:b w:val="0"/>
                <w:szCs w:val="24"/>
              </w:rPr>
            </w:pPr>
          </w:p>
          <w:p w14:paraId="27C0B793" w14:textId="77777777" w:rsidR="000814FB" w:rsidRPr="00DE1573" w:rsidRDefault="000814FB" w:rsidP="007F12FF">
            <w:pPr>
              <w:rPr>
                <w:rFonts w:ascii="Arial" w:hAnsi="Arial" w:cs="Arial"/>
              </w:rPr>
            </w:pPr>
            <w:r w:rsidRPr="00DE1573">
              <w:rPr>
                <w:rFonts w:ascii="Arial" w:hAnsi="Arial" w:cs="Arial"/>
              </w:rPr>
              <w:t xml:space="preserve">This information is not meant to influence examiners rendering opinions concerning the etiology of any particular disability; but rather to ensure that such opinions are fully informed based on all known objective facts.  Therefore, when rendering opinions requested by rating authorities for a disability potentially related to such exposure, </w:t>
            </w:r>
            <w:r w:rsidRPr="00DE1573">
              <w:rPr>
                <w:rFonts w:ascii="Arial" w:hAnsi="Arial" w:cs="Arial"/>
              </w:rPr>
              <w:lastRenderedPageBreak/>
              <w:t>please utilize this information objectively and together with the remaining evidence, including lay evidence, in the Veteran’s record.</w:t>
            </w:r>
          </w:p>
          <w:p w14:paraId="274F520E" w14:textId="77777777" w:rsidR="000814FB" w:rsidRPr="00DE1573" w:rsidRDefault="000814FB" w:rsidP="007F12FF">
            <w:pPr>
              <w:rPr>
                <w:rFonts w:ascii="Arial" w:hAnsi="Arial" w:cs="Arial"/>
              </w:rPr>
            </w:pPr>
          </w:p>
          <w:p w14:paraId="290B99C9" w14:textId="77777777" w:rsidR="000814FB" w:rsidRPr="00DE1573" w:rsidRDefault="000814FB" w:rsidP="007F12FF">
            <w:pPr>
              <w:rPr>
                <w:rFonts w:ascii="Arial" w:hAnsi="Arial" w:cs="Arial"/>
              </w:rPr>
            </w:pPr>
          </w:p>
          <w:p w14:paraId="3D177E6D" w14:textId="77777777" w:rsidR="000814FB" w:rsidRPr="00DE1573" w:rsidRDefault="000814FB" w:rsidP="007F12FF">
            <w:pPr>
              <w:rPr>
                <w:rFonts w:ascii="Arial" w:hAnsi="Arial" w:cs="Arial"/>
              </w:rPr>
            </w:pP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p>
          <w:p w14:paraId="17892522" w14:textId="2AF51C78" w:rsidR="000814FB" w:rsidRPr="00DE1573" w:rsidRDefault="00574E20" w:rsidP="007F12FF">
            <w:pPr>
              <w:rPr>
                <w:rFonts w:ascii="Arial" w:hAnsi="Arial" w:cs="Arial"/>
              </w:rPr>
            </w:pP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t>Adjudication Authority</w:t>
            </w:r>
          </w:p>
        </w:tc>
      </w:tr>
    </w:tbl>
    <w:p w14:paraId="76AB8661" w14:textId="7328A30C" w:rsidR="00E475B3" w:rsidRPr="00DE1573" w:rsidRDefault="0088121C" w:rsidP="0088121C">
      <w:pPr>
        <w:tabs>
          <w:tab w:val="left" w:pos="9360"/>
        </w:tabs>
        <w:ind w:left="1714"/>
      </w:pPr>
      <w:r w:rsidRPr="00DE1573">
        <w:rPr>
          <w:u w:val="single"/>
        </w:rPr>
        <w:lastRenderedPageBreak/>
        <w:tab/>
      </w:r>
    </w:p>
    <w:p w14:paraId="7903F7B8" w14:textId="2843517F" w:rsidR="0088121C" w:rsidRPr="00DE1573" w:rsidRDefault="0088121C" w:rsidP="0088121C">
      <w:pPr>
        <w:ind w:left="1714"/>
      </w:pPr>
    </w:p>
    <w:p w14:paraId="399A2E28" w14:textId="77777777" w:rsidR="0088121C" w:rsidRPr="00DE1573" w:rsidRDefault="0088121C" w:rsidP="0088121C"/>
    <w:p w14:paraId="2AD4E6A1" w14:textId="5F673840" w:rsidR="000814FB" w:rsidRPr="00DE1573" w:rsidRDefault="000814FB">
      <w:r w:rsidRPr="00DE1573">
        <w:br w:type="page"/>
      </w:r>
    </w:p>
    <w:p w14:paraId="6368E716" w14:textId="4CC225CD" w:rsidR="000814FB" w:rsidRPr="00DE1573" w:rsidRDefault="000814FB" w:rsidP="000814FB">
      <w:pPr>
        <w:rPr>
          <w:rFonts w:ascii="Arial" w:hAnsi="Arial" w:cs="Arial"/>
          <w:b/>
          <w:sz w:val="32"/>
          <w:szCs w:val="32"/>
        </w:rPr>
      </w:pPr>
      <w:r w:rsidRPr="00DE1573">
        <w:rPr>
          <w:rFonts w:ascii="Arial" w:hAnsi="Arial" w:cs="Arial"/>
          <w:b/>
          <w:sz w:val="32"/>
          <w:szCs w:val="32"/>
        </w:rPr>
        <w:lastRenderedPageBreak/>
        <w:t>1</w:t>
      </w:r>
      <w:r w:rsidR="00327641" w:rsidRPr="00DE1573">
        <w:rPr>
          <w:rFonts w:ascii="Arial" w:hAnsi="Arial" w:cs="Arial"/>
          <w:b/>
          <w:sz w:val="32"/>
          <w:szCs w:val="32"/>
        </w:rPr>
        <w:t>3</w:t>
      </w:r>
      <w:r w:rsidR="00EA57BB" w:rsidRPr="00DE1573">
        <w:rPr>
          <w:rFonts w:ascii="Arial" w:hAnsi="Arial" w:cs="Arial"/>
          <w:b/>
          <w:sz w:val="32"/>
          <w:szCs w:val="32"/>
        </w:rPr>
        <w:t>.  Exhibit 5:  Fact Sheet</w:t>
      </w:r>
      <w:r w:rsidRPr="00DE1573">
        <w:rPr>
          <w:rFonts w:ascii="Arial" w:hAnsi="Arial" w:cs="Arial"/>
          <w:b/>
          <w:sz w:val="32"/>
          <w:szCs w:val="32"/>
        </w:rPr>
        <w:t xml:space="preserve"> Naval Air Facility, Atsugi, Japan</w:t>
      </w:r>
    </w:p>
    <w:p w14:paraId="4A762164" w14:textId="335960C4" w:rsidR="000814FB" w:rsidRPr="00DE1573" w:rsidRDefault="000814FB" w:rsidP="000814FB">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D4684C" w:rsidRPr="00DE1573" w14:paraId="1C5B26F2" w14:textId="77777777" w:rsidTr="00D4684C">
        <w:tc>
          <w:tcPr>
            <w:tcW w:w="1728" w:type="dxa"/>
            <w:shd w:val="clear" w:color="auto" w:fill="auto"/>
          </w:tcPr>
          <w:p w14:paraId="526D3B81" w14:textId="2D0B3283" w:rsidR="00D4684C" w:rsidRPr="00DE1573" w:rsidRDefault="00D4684C" w:rsidP="00D4684C">
            <w:pPr>
              <w:rPr>
                <w:b/>
                <w:sz w:val="22"/>
              </w:rPr>
            </w:pPr>
            <w:r w:rsidRPr="00DE1573">
              <w:rPr>
                <w:b/>
                <w:sz w:val="22"/>
              </w:rPr>
              <w:t>Change Date</w:t>
            </w:r>
          </w:p>
        </w:tc>
        <w:tc>
          <w:tcPr>
            <w:tcW w:w="7740" w:type="dxa"/>
            <w:shd w:val="clear" w:color="auto" w:fill="auto"/>
          </w:tcPr>
          <w:p w14:paraId="439092C3" w14:textId="219DA6C8" w:rsidR="00D4684C" w:rsidRPr="00DE1573" w:rsidRDefault="00D4684C" w:rsidP="00D4684C">
            <w:r w:rsidRPr="00DE1573">
              <w:t>August 7, 2015</w:t>
            </w:r>
          </w:p>
        </w:tc>
      </w:tr>
    </w:tbl>
    <w:p w14:paraId="2177AC25" w14:textId="77777777" w:rsidR="000814FB" w:rsidRPr="00DE1573" w:rsidRDefault="000814FB" w:rsidP="000814FB">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814FB" w:rsidRPr="00DE1573" w14:paraId="38D991E3" w14:textId="77777777" w:rsidTr="007F12FF">
        <w:tc>
          <w:tcPr>
            <w:tcW w:w="1728" w:type="dxa"/>
            <w:shd w:val="clear" w:color="auto" w:fill="auto"/>
          </w:tcPr>
          <w:p w14:paraId="0713B886" w14:textId="5961F97F" w:rsidR="000814FB" w:rsidRPr="00DE1573" w:rsidRDefault="00D4684C" w:rsidP="00D4684C">
            <w:pPr>
              <w:rPr>
                <w:b/>
              </w:rPr>
            </w:pPr>
            <w:r w:rsidRPr="00DE1573">
              <w:rPr>
                <w:b/>
              </w:rPr>
              <w:t xml:space="preserve">a.  </w:t>
            </w:r>
            <w:r w:rsidR="000814FB" w:rsidRPr="00DE1573">
              <w:rPr>
                <w:b/>
              </w:rPr>
              <w:t>F</w:t>
            </w:r>
            <w:r w:rsidRPr="00DE1573">
              <w:rPr>
                <w:b/>
              </w:rPr>
              <w:t>act Sheet: Naval Air Facility in Atsugi, Japan</w:t>
            </w:r>
          </w:p>
        </w:tc>
        <w:tc>
          <w:tcPr>
            <w:tcW w:w="7740" w:type="dxa"/>
            <w:shd w:val="clear" w:color="auto" w:fill="auto"/>
          </w:tcPr>
          <w:p w14:paraId="1A9A9F2F" w14:textId="77777777" w:rsidR="000814FB" w:rsidRPr="00DE1573" w:rsidRDefault="000814FB" w:rsidP="007F12FF">
            <w:r w:rsidRPr="00DE1573">
              <w:rPr>
                <w:i/>
              </w:rPr>
              <w:t>Fact Sheet for Claims of Exposure Based on the Naval Air Facility in Atsugi, Japan</w:t>
            </w:r>
            <w:r w:rsidRPr="00DE1573">
              <w:t>, is shown below.</w:t>
            </w:r>
          </w:p>
        </w:tc>
      </w:tr>
    </w:tbl>
    <w:p w14:paraId="0DBE73B4" w14:textId="77777777" w:rsidR="000814FB" w:rsidRPr="00DE1573" w:rsidRDefault="000814FB" w:rsidP="000814FB">
      <w:pPr>
        <w:ind w:left="1714"/>
        <w:rPr>
          <w:rFonts w:ascii="Arial" w:hAnsi="Arial" w:cs="Arial"/>
          <w:sz w:val="32"/>
          <w:szCs w:val="32"/>
        </w:rPr>
      </w:pPr>
    </w:p>
    <w:tbl>
      <w:tblPr>
        <w:tblStyle w:val="TableGrid"/>
        <w:tblW w:w="0" w:type="auto"/>
        <w:tblLook w:val="04A0" w:firstRow="1" w:lastRow="0" w:firstColumn="1" w:lastColumn="0" w:noHBand="0" w:noVBand="1"/>
      </w:tblPr>
      <w:tblGrid>
        <w:gridCol w:w="9576"/>
      </w:tblGrid>
      <w:tr w:rsidR="000814FB" w:rsidRPr="00DE1573" w14:paraId="2FB5A8F7" w14:textId="77777777" w:rsidTr="007F12FF">
        <w:tc>
          <w:tcPr>
            <w:tcW w:w="9576" w:type="dxa"/>
          </w:tcPr>
          <w:p w14:paraId="5E6989BE" w14:textId="64CD4E6C" w:rsidR="000814FB" w:rsidRPr="00DE1573" w:rsidRDefault="000814FB" w:rsidP="007F12FF">
            <w:pPr>
              <w:jc w:val="center"/>
              <w:rPr>
                <w:b/>
                <w:u w:val="single"/>
              </w:rPr>
            </w:pPr>
            <w:r w:rsidRPr="00DE1573">
              <w:rPr>
                <w:b/>
                <w:u w:val="single"/>
              </w:rPr>
              <w:t>FACT SHEET</w:t>
            </w:r>
          </w:p>
          <w:p w14:paraId="11D6378F" w14:textId="77777777" w:rsidR="000814FB" w:rsidRPr="00DE1573" w:rsidRDefault="000814FB" w:rsidP="007F12FF">
            <w:pPr>
              <w:jc w:val="center"/>
              <w:rPr>
                <w:b/>
                <w:u w:val="single"/>
              </w:rPr>
            </w:pPr>
            <w:r w:rsidRPr="00DE1573">
              <w:rPr>
                <w:b/>
                <w:u w:val="single"/>
              </w:rPr>
              <w:t>Naval Air Facility, Atsugi, Japan</w:t>
            </w:r>
          </w:p>
          <w:p w14:paraId="621E3440" w14:textId="77777777" w:rsidR="000814FB" w:rsidRPr="00DE1573" w:rsidRDefault="000814FB" w:rsidP="007F12FF">
            <w:pPr>
              <w:pStyle w:val="Heading9"/>
              <w:shd w:val="clear" w:color="auto" w:fill="C0C0C0"/>
              <w:jc w:val="center"/>
              <w:rPr>
                <w:rFonts w:cs="Arial"/>
              </w:rPr>
            </w:pPr>
            <w:r w:rsidRPr="00DE1573">
              <w:rPr>
                <w:rFonts w:cs="Arial"/>
              </w:rPr>
              <w:t>NOTICE TO VA EXAMINERS</w:t>
            </w:r>
          </w:p>
          <w:p w14:paraId="3BC76A25" w14:textId="77777777" w:rsidR="000814FB" w:rsidRPr="00DE1573" w:rsidRDefault="000814FB" w:rsidP="007F12FF">
            <w:pPr>
              <w:pStyle w:val="Heading9"/>
              <w:shd w:val="clear" w:color="auto" w:fill="C0C0C0"/>
              <w:jc w:val="center"/>
              <w:rPr>
                <w:rFonts w:cs="Arial"/>
              </w:rPr>
            </w:pPr>
            <w:r w:rsidRPr="00DE1573">
              <w:rPr>
                <w:rFonts w:cs="Arial"/>
              </w:rPr>
              <w:t xml:space="preserve">VBA Considers this Veteran Exposed to Incinerator Emissions </w:t>
            </w:r>
          </w:p>
          <w:p w14:paraId="6C3FE0AF" w14:textId="77777777" w:rsidR="000814FB" w:rsidRPr="00DE1573" w:rsidRDefault="000814FB" w:rsidP="007F12FF">
            <w:pPr>
              <w:rPr>
                <w:rFonts w:ascii="Arial" w:hAnsi="Arial" w:cs="Arial"/>
                <w:b/>
                <w:color w:val="auto"/>
                <w:szCs w:val="20"/>
                <w:lang w:val="en"/>
              </w:rPr>
            </w:pPr>
          </w:p>
          <w:p w14:paraId="699B9235" w14:textId="77777777" w:rsidR="000814FB" w:rsidRPr="00DE1573" w:rsidRDefault="000814FB" w:rsidP="007F12FF">
            <w:pPr>
              <w:rPr>
                <w:rFonts w:ascii="Arial" w:hAnsi="Arial" w:cs="Arial"/>
              </w:rPr>
            </w:pPr>
            <w:r w:rsidRPr="00DE1573">
              <w:rPr>
                <w:rFonts w:ascii="Arial" w:hAnsi="Arial" w:cs="Arial"/>
              </w:rPr>
              <w:t xml:space="preserve">The Department of Defense (DoD) has indicated that during the years between 1985 and 2001, personnel at Naval Air Facility (NAF) Atsugi, Japan were exposed to environmental contaminants.  The source was an off-base waste incinerator business owned and operated by a private Japanese company.  Known as the </w:t>
            </w:r>
            <w:proofErr w:type="spellStart"/>
            <w:r w:rsidRPr="00DE1573">
              <w:rPr>
                <w:rFonts w:ascii="Arial" w:hAnsi="Arial" w:cs="Arial"/>
              </w:rPr>
              <w:t>Jinkanpo</w:t>
            </w:r>
            <w:proofErr w:type="spellEnd"/>
            <w:r w:rsidRPr="00DE1573">
              <w:rPr>
                <w:rFonts w:ascii="Arial" w:hAnsi="Arial" w:cs="Arial"/>
              </w:rPr>
              <w:t xml:space="preserve"> or </w:t>
            </w:r>
            <w:proofErr w:type="spellStart"/>
            <w:r w:rsidRPr="00DE1573">
              <w:rPr>
                <w:rFonts w:ascii="Arial" w:hAnsi="Arial" w:cs="Arial"/>
              </w:rPr>
              <w:t>Shinkampo</w:t>
            </w:r>
            <w:proofErr w:type="spellEnd"/>
            <w:r w:rsidRPr="00DE1573">
              <w:rPr>
                <w:rFonts w:ascii="Arial" w:hAnsi="Arial" w:cs="Arial"/>
              </w:rPr>
              <w:t xml:space="preserve"> Incinerator Complex, the operation consisted of a combustion waste disposal complex equipped with four incinerators burning up to 90 tons of industrial and medical waste daily.  The complex was located approximately 100 yards south of the NAF Atsugi perimeter and during the spring and summer months the prevailing winds would blow the incinerators’ emissions over the NAF.  </w:t>
            </w:r>
          </w:p>
          <w:p w14:paraId="1044E608" w14:textId="77777777" w:rsidR="000814FB" w:rsidRPr="00DE1573" w:rsidRDefault="000814FB" w:rsidP="007F12FF">
            <w:pPr>
              <w:rPr>
                <w:rFonts w:ascii="Arial" w:hAnsi="Arial" w:cs="Arial"/>
              </w:rPr>
            </w:pPr>
          </w:p>
          <w:p w14:paraId="3E396E2A" w14:textId="77777777" w:rsidR="000814FB" w:rsidRPr="00DE1573" w:rsidRDefault="000814FB" w:rsidP="007F12FF">
            <w:pPr>
              <w:rPr>
                <w:rFonts w:ascii="Arial" w:hAnsi="Arial" w:cs="Arial"/>
              </w:rPr>
            </w:pPr>
            <w:r w:rsidRPr="00DE1573">
              <w:rPr>
                <w:rFonts w:ascii="Arial" w:hAnsi="Arial" w:cs="Arial"/>
              </w:rPr>
              <w:t>Environmental assessment reports conducted during the years of incinerator operations stated that there was significant degradation of air quality at the sites sampled and identified the sources as incomplete burning of wastes in uncontrolled incinerators and evaporation of solvents poured onto outdoor waste piles prior to incineration.  The identified chemicals of potential concern included:  chloroform; 1</w:t>
            </w:r>
            <w:proofErr w:type="gramStart"/>
            <w:r w:rsidRPr="00DE1573">
              <w:rPr>
                <w:rFonts w:ascii="Arial" w:hAnsi="Arial" w:cs="Arial"/>
              </w:rPr>
              <w:t>,2</w:t>
            </w:r>
            <w:proofErr w:type="gramEnd"/>
            <w:r w:rsidRPr="00DE1573">
              <w:rPr>
                <w:rFonts w:ascii="Arial" w:hAnsi="Arial" w:cs="Arial"/>
              </w:rPr>
              <w:t xml:space="preserve">-dichloroethane; methylene chloride; trichloroethylene; chromium; dioxins and furans; and other particulate matter. </w:t>
            </w:r>
          </w:p>
          <w:p w14:paraId="3C441002" w14:textId="77777777" w:rsidR="000814FB" w:rsidRPr="00DE1573" w:rsidRDefault="000814FB" w:rsidP="007F12FF">
            <w:pPr>
              <w:rPr>
                <w:rFonts w:ascii="Arial" w:hAnsi="Arial" w:cs="Arial"/>
              </w:rPr>
            </w:pPr>
          </w:p>
          <w:p w14:paraId="298B6C7A" w14:textId="12F14FD3" w:rsidR="00D80D7B" w:rsidRPr="00DE1573" w:rsidRDefault="000814FB" w:rsidP="007F12FF">
            <w:pPr>
              <w:rPr>
                <w:rFonts w:ascii="Arial" w:hAnsi="Arial" w:cs="Arial"/>
              </w:rPr>
            </w:pPr>
            <w:r w:rsidRPr="00DE1573">
              <w:rPr>
                <w:rFonts w:ascii="Arial" w:hAnsi="Arial" w:cs="Arial"/>
              </w:rPr>
              <w:t>Since the 1990s, the Navy has informed sailors and their family members about the possible long-term health effects of living at Atsugi.  The Navy has also published various health information about Ats</w:t>
            </w:r>
            <w:r w:rsidR="00D80D7B" w:rsidRPr="00DE1573">
              <w:rPr>
                <w:rFonts w:ascii="Arial" w:hAnsi="Arial" w:cs="Arial"/>
              </w:rPr>
              <w:t>ugi at the following website:</w:t>
            </w:r>
          </w:p>
          <w:p w14:paraId="4E9001AE" w14:textId="77777777" w:rsidR="00D80D7B" w:rsidRPr="00DE1573" w:rsidRDefault="00D80D7B" w:rsidP="007F12FF">
            <w:pPr>
              <w:rPr>
                <w:rFonts w:ascii="Arial" w:hAnsi="Arial" w:cs="Arial"/>
              </w:rPr>
            </w:pPr>
          </w:p>
          <w:p w14:paraId="634110AF" w14:textId="6C1DA48C" w:rsidR="000814FB" w:rsidRPr="00DE1573" w:rsidRDefault="00D872BE" w:rsidP="007F12FF">
            <w:pPr>
              <w:rPr>
                <w:rFonts w:ascii="Arial" w:hAnsi="Arial" w:cs="Arial"/>
              </w:rPr>
            </w:pPr>
            <w:hyperlink r:id="rId36" w:history="1">
              <w:r w:rsidR="00D80D7B" w:rsidRPr="00DE1573">
                <w:rPr>
                  <w:rStyle w:val="Hyperlink"/>
                  <w:rFonts w:ascii="Arial" w:hAnsi="Arial" w:cs="Arial"/>
                </w:rPr>
                <w:t>http://www.med.navy.mil/sites/nmcphc/environmental-programs/Pages/Atsugi.aspx</w:t>
              </w:r>
            </w:hyperlink>
            <w:r w:rsidR="00D80D7B" w:rsidRPr="00DE1573">
              <w:rPr>
                <w:rFonts w:ascii="Arial" w:hAnsi="Arial" w:cs="Arial"/>
              </w:rPr>
              <w:t xml:space="preserve"> </w:t>
            </w:r>
          </w:p>
          <w:p w14:paraId="2D78FA80" w14:textId="6FF757C3" w:rsidR="000814FB" w:rsidRPr="00DE1573" w:rsidRDefault="00D80D7B" w:rsidP="007F12FF">
            <w:pPr>
              <w:rPr>
                <w:rFonts w:ascii="Arial" w:hAnsi="Arial" w:cs="Arial"/>
              </w:rPr>
            </w:pPr>
            <w:hyperlink w:history="1"/>
          </w:p>
          <w:p w14:paraId="152EB900" w14:textId="77777777" w:rsidR="000814FB" w:rsidRPr="00DE1573" w:rsidRDefault="000814FB" w:rsidP="007F12FF">
            <w:pPr>
              <w:rPr>
                <w:rFonts w:ascii="Arial" w:hAnsi="Arial" w:cs="Arial"/>
              </w:rPr>
            </w:pPr>
            <w:r w:rsidRPr="00DE1573">
              <w:rPr>
                <w:rFonts w:ascii="Arial" w:hAnsi="Arial" w:cs="Arial"/>
              </w:rPr>
              <w:t>This information is not meant to influence examiners rendering opinions concerning the etiology of any particular disability; but rather to ensure that such opinions are fully informed based on all known objective facts.  Therefore, when rendering opinions requested by rating authorities for a disability potentially related to such exposure, please utilize this information objectively and together with the remaining evidence, including lay evidence, in the Veteran’s record.</w:t>
            </w:r>
          </w:p>
          <w:p w14:paraId="3C7BE6D4" w14:textId="77777777" w:rsidR="000814FB" w:rsidRPr="00DE1573" w:rsidRDefault="000814FB" w:rsidP="007F12FF">
            <w:pPr>
              <w:rPr>
                <w:rFonts w:ascii="Arial" w:hAnsi="Arial" w:cs="Arial"/>
              </w:rPr>
            </w:pPr>
          </w:p>
          <w:p w14:paraId="785324D6" w14:textId="77777777" w:rsidR="000814FB" w:rsidRPr="00DE1573" w:rsidRDefault="000814FB" w:rsidP="007F12FF">
            <w:pPr>
              <w:rPr>
                <w:rFonts w:ascii="Arial" w:hAnsi="Arial" w:cs="Arial"/>
              </w:rPr>
            </w:pPr>
          </w:p>
          <w:p w14:paraId="28B90D12" w14:textId="77777777" w:rsidR="000814FB" w:rsidRPr="00DE1573" w:rsidRDefault="000814FB" w:rsidP="007F12FF">
            <w:pPr>
              <w:rPr>
                <w:rFonts w:ascii="Arial" w:hAnsi="Arial" w:cs="Arial"/>
              </w:rPr>
            </w:pP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t>_____________________</w:t>
            </w:r>
          </w:p>
          <w:p w14:paraId="0D346FE7" w14:textId="5FF9D712" w:rsidR="000814FB" w:rsidRPr="00DE1573" w:rsidRDefault="00574E20" w:rsidP="007F12FF">
            <w:pPr>
              <w:rPr>
                <w:rFonts w:ascii="Arial" w:hAnsi="Arial" w:cs="Arial"/>
              </w:rPr>
            </w:pP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r>
            <w:r w:rsidRPr="00DE1573">
              <w:rPr>
                <w:rFonts w:ascii="Arial" w:hAnsi="Arial" w:cs="Arial"/>
              </w:rPr>
              <w:tab/>
              <w:t>Adjudication Authority</w:t>
            </w:r>
          </w:p>
        </w:tc>
      </w:tr>
    </w:tbl>
    <w:p w14:paraId="15E5E318" w14:textId="342DFE6D" w:rsidR="00E475B3" w:rsidRPr="00DE1573" w:rsidRDefault="0088121C" w:rsidP="0088121C">
      <w:pPr>
        <w:tabs>
          <w:tab w:val="left" w:pos="9360"/>
        </w:tabs>
        <w:ind w:left="1714"/>
      </w:pPr>
      <w:r w:rsidRPr="00DE1573">
        <w:rPr>
          <w:u w:val="single"/>
        </w:rPr>
        <w:lastRenderedPageBreak/>
        <w:tab/>
      </w:r>
    </w:p>
    <w:p w14:paraId="63865CC9" w14:textId="34A265E9" w:rsidR="0088121C" w:rsidRPr="00DE1573" w:rsidRDefault="0088121C" w:rsidP="0088121C">
      <w:pPr>
        <w:ind w:left="1714"/>
      </w:pPr>
    </w:p>
    <w:p w14:paraId="552C5BC8" w14:textId="77777777" w:rsidR="0088121C" w:rsidRPr="00DE1573" w:rsidRDefault="0088121C" w:rsidP="0088121C"/>
    <w:p w14:paraId="041308E2" w14:textId="0C4504E2" w:rsidR="000814FB" w:rsidRPr="00DE1573" w:rsidRDefault="000814FB">
      <w:r w:rsidRPr="00DE1573">
        <w:br w:type="page"/>
      </w:r>
    </w:p>
    <w:p w14:paraId="1DDCD202" w14:textId="283BA91C" w:rsidR="000814FB" w:rsidRPr="00DE1573" w:rsidRDefault="004E2FC4" w:rsidP="000814FB">
      <w:pPr>
        <w:rPr>
          <w:rFonts w:ascii="Arial" w:hAnsi="Arial" w:cs="Arial"/>
          <w:b/>
          <w:sz w:val="32"/>
          <w:szCs w:val="32"/>
        </w:rPr>
      </w:pPr>
      <w:r w:rsidRPr="00DE1573">
        <w:rPr>
          <w:rFonts w:ascii="Arial" w:hAnsi="Arial" w:cs="Arial"/>
          <w:b/>
          <w:sz w:val="32"/>
          <w:szCs w:val="32"/>
        </w:rPr>
        <w:lastRenderedPageBreak/>
        <w:t>1</w:t>
      </w:r>
      <w:r w:rsidR="00327641" w:rsidRPr="00DE1573">
        <w:rPr>
          <w:rFonts w:ascii="Arial" w:hAnsi="Arial" w:cs="Arial"/>
          <w:b/>
          <w:sz w:val="32"/>
          <w:szCs w:val="32"/>
        </w:rPr>
        <w:t>4</w:t>
      </w:r>
      <w:r w:rsidR="000814FB" w:rsidRPr="00DE1573">
        <w:rPr>
          <w:rFonts w:ascii="Arial" w:hAnsi="Arial" w:cs="Arial"/>
          <w:b/>
          <w:sz w:val="32"/>
          <w:szCs w:val="32"/>
        </w:rPr>
        <w:t>.  Exhibit 6:  Internet Websites Related to the Issue of Contaminated Water at Camp Lejeune</w:t>
      </w:r>
    </w:p>
    <w:p w14:paraId="3B714C87" w14:textId="77777777" w:rsidR="000814FB" w:rsidRPr="00DE1573" w:rsidRDefault="000814FB" w:rsidP="000814FB">
      <w:pPr>
        <w:pBdr>
          <w:top w:val="single" w:sz="6" w:space="1" w:color="000000"/>
          <w:between w:val="single" w:sz="6" w:space="1" w:color="auto"/>
        </w:pBdr>
        <w:spacing w:before="240"/>
        <w:ind w:left="1728"/>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814FB" w:rsidRPr="00DE1573" w14:paraId="007604E8" w14:textId="77777777" w:rsidTr="007F12FF">
        <w:tc>
          <w:tcPr>
            <w:tcW w:w="1728" w:type="dxa"/>
            <w:shd w:val="clear" w:color="auto" w:fill="auto"/>
          </w:tcPr>
          <w:p w14:paraId="04919A8F" w14:textId="0D0B2E9C" w:rsidR="000814FB" w:rsidRPr="00DE1573" w:rsidRDefault="00F35F0E" w:rsidP="000814FB">
            <w:pPr>
              <w:rPr>
                <w:b/>
              </w:rPr>
            </w:pPr>
            <w:r w:rsidRPr="00DE1573">
              <w:rPr>
                <w:b/>
              </w:rPr>
              <w:t>Change Date</w:t>
            </w:r>
          </w:p>
        </w:tc>
        <w:tc>
          <w:tcPr>
            <w:tcW w:w="7740" w:type="dxa"/>
            <w:shd w:val="clear" w:color="auto" w:fill="auto"/>
          </w:tcPr>
          <w:p w14:paraId="60E30650" w14:textId="24CB8F7E" w:rsidR="000814FB" w:rsidRPr="00DE1573" w:rsidRDefault="00F35F0E" w:rsidP="000814FB">
            <w:r w:rsidRPr="00DE1573">
              <w:t>August 7, 2015</w:t>
            </w:r>
          </w:p>
        </w:tc>
      </w:tr>
    </w:tbl>
    <w:p w14:paraId="4AA6E397" w14:textId="77777777" w:rsidR="000814FB" w:rsidRPr="00DE1573" w:rsidRDefault="000814FB" w:rsidP="000814FB">
      <w:pPr>
        <w:pBdr>
          <w:top w:val="single" w:sz="6" w:space="1" w:color="000000"/>
          <w:between w:val="single" w:sz="6" w:space="1" w:color="auto"/>
        </w:pBdr>
        <w:spacing w:before="240"/>
        <w:ind w:left="1728"/>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814FB" w:rsidRPr="00DE1573" w14:paraId="36BF0C94" w14:textId="77777777" w:rsidTr="007F12FF">
        <w:tc>
          <w:tcPr>
            <w:tcW w:w="1728" w:type="dxa"/>
            <w:shd w:val="clear" w:color="auto" w:fill="auto"/>
          </w:tcPr>
          <w:p w14:paraId="7F75F13E" w14:textId="5B481E1A" w:rsidR="000814FB" w:rsidRPr="00DE1573" w:rsidRDefault="00F35F0E" w:rsidP="00F35F0E">
            <w:pPr>
              <w:rPr>
                <w:b/>
                <w:sz w:val="22"/>
                <w:szCs w:val="22"/>
              </w:rPr>
            </w:pPr>
            <w:r w:rsidRPr="00DE1573">
              <w:rPr>
                <w:b/>
                <w:sz w:val="22"/>
                <w:szCs w:val="22"/>
              </w:rPr>
              <w:t xml:space="preserve">a.  </w:t>
            </w:r>
            <w:r w:rsidR="000814FB" w:rsidRPr="00DE1573">
              <w:rPr>
                <w:b/>
                <w:sz w:val="22"/>
                <w:szCs w:val="22"/>
              </w:rPr>
              <w:t>Internet Websites</w:t>
            </w:r>
            <w:r w:rsidRPr="00DE1573">
              <w:rPr>
                <w:b/>
                <w:sz w:val="22"/>
                <w:szCs w:val="22"/>
              </w:rPr>
              <w:t xml:space="preserve"> Related to Contaminated Water at Camp Lejeune</w:t>
            </w:r>
          </w:p>
        </w:tc>
        <w:tc>
          <w:tcPr>
            <w:tcW w:w="7740" w:type="dxa"/>
            <w:shd w:val="clear" w:color="auto" w:fill="auto"/>
          </w:tcPr>
          <w:p w14:paraId="6AB4D793" w14:textId="77777777" w:rsidR="000814FB" w:rsidRPr="00DE1573" w:rsidRDefault="000814FB" w:rsidP="000814FB">
            <w:r w:rsidRPr="00DE1573">
              <w:rPr>
                <w:i/>
              </w:rPr>
              <w:t>Internet Websites Related to the Issue of Contaminated Water at Camp Lejeune</w:t>
            </w:r>
            <w:r w:rsidRPr="00DE1573">
              <w:t xml:space="preserve"> are shown below.</w:t>
            </w:r>
          </w:p>
        </w:tc>
      </w:tr>
    </w:tbl>
    <w:p w14:paraId="5A524C00" w14:textId="77777777" w:rsidR="000814FB" w:rsidRPr="00DE1573" w:rsidRDefault="000814FB" w:rsidP="000814FB">
      <w:pPr>
        <w:rPr>
          <w:rFonts w:ascii="Arial" w:hAnsi="Arial" w:cs="Arial"/>
          <w:sz w:val="32"/>
          <w:szCs w:val="32"/>
        </w:rPr>
      </w:pPr>
    </w:p>
    <w:tbl>
      <w:tblPr>
        <w:tblStyle w:val="TableGrid"/>
        <w:tblW w:w="0" w:type="auto"/>
        <w:tblLook w:val="04A0" w:firstRow="1" w:lastRow="0" w:firstColumn="1" w:lastColumn="0" w:noHBand="0" w:noVBand="1"/>
      </w:tblPr>
      <w:tblGrid>
        <w:gridCol w:w="9576"/>
      </w:tblGrid>
      <w:tr w:rsidR="000814FB" w:rsidRPr="00DE1573" w14:paraId="4DA404EF" w14:textId="77777777" w:rsidTr="007F12FF">
        <w:tc>
          <w:tcPr>
            <w:tcW w:w="9576" w:type="dxa"/>
          </w:tcPr>
          <w:p w14:paraId="223A8BB8" w14:textId="77777777" w:rsidR="000814FB" w:rsidRPr="00DE1573" w:rsidRDefault="000814FB" w:rsidP="000814FB">
            <w:pPr>
              <w:tabs>
                <w:tab w:val="left" w:pos="540"/>
              </w:tabs>
              <w:ind w:right="468"/>
              <w:rPr>
                <w:b/>
                <w:bCs/>
              </w:rPr>
            </w:pPr>
            <w:r w:rsidRPr="00DE1573">
              <w:rPr>
                <w:rFonts w:ascii="Arial" w:hAnsi="Arial" w:cs="Arial"/>
              </w:rPr>
              <w:t xml:space="preserve"> </w:t>
            </w:r>
            <w:r w:rsidRPr="00DE1573">
              <w:rPr>
                <w:b/>
                <w:bCs/>
              </w:rPr>
              <w:t>Appendix A</w:t>
            </w:r>
          </w:p>
          <w:p w14:paraId="3B0EE504" w14:textId="77777777" w:rsidR="000814FB" w:rsidRPr="00DE1573" w:rsidRDefault="000814FB" w:rsidP="000814FB">
            <w:pPr>
              <w:tabs>
                <w:tab w:val="left" w:pos="540"/>
              </w:tabs>
              <w:ind w:right="468"/>
              <w:rPr>
                <w:rFonts w:ascii="Arial" w:hAnsi="Arial" w:cs="Arial"/>
                <w:b/>
                <w:bCs/>
                <w:sz w:val="20"/>
              </w:rPr>
            </w:pPr>
          </w:p>
          <w:p w14:paraId="457495C2" w14:textId="77777777" w:rsidR="000814FB" w:rsidRPr="00DE1573" w:rsidRDefault="000814FB" w:rsidP="000814FB">
            <w:pPr>
              <w:tabs>
                <w:tab w:val="left" w:pos="540"/>
              </w:tabs>
              <w:ind w:right="468"/>
              <w:rPr>
                <w:rFonts w:ascii="Arial" w:hAnsi="Arial" w:cs="Arial"/>
                <w:bCs/>
                <w:i/>
                <w:iCs/>
                <w:sz w:val="20"/>
                <w:u w:val="single"/>
              </w:rPr>
            </w:pPr>
            <w:r w:rsidRPr="00DE1573">
              <w:rPr>
                <w:rFonts w:ascii="Arial" w:hAnsi="Arial" w:cs="Arial"/>
                <w:i/>
                <w:iCs/>
                <w:sz w:val="20"/>
                <w:u w:val="single"/>
              </w:rPr>
              <w:t xml:space="preserve">Internet websites related to the issue of contaminated water at </w:t>
            </w:r>
            <w:r w:rsidRPr="00DE1573">
              <w:rPr>
                <w:rFonts w:ascii="Arial" w:hAnsi="Arial" w:cs="Arial"/>
                <w:bCs/>
                <w:i/>
                <w:iCs/>
                <w:sz w:val="20"/>
                <w:u w:val="single"/>
              </w:rPr>
              <w:t>Camp Lejeune</w:t>
            </w:r>
          </w:p>
          <w:p w14:paraId="24A1FC02" w14:textId="77777777" w:rsidR="000814FB" w:rsidRPr="00DE1573" w:rsidRDefault="000814FB" w:rsidP="000814FB">
            <w:pPr>
              <w:tabs>
                <w:tab w:val="left" w:pos="540"/>
              </w:tabs>
              <w:ind w:right="468"/>
              <w:rPr>
                <w:rFonts w:ascii="Arial" w:hAnsi="Arial" w:cs="Arial"/>
                <w:bCs/>
                <w:sz w:val="20"/>
              </w:rPr>
            </w:pPr>
          </w:p>
          <w:p w14:paraId="754DABF8"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US Marine Corps Site for Camp Lejeune Contaminated Water</w:t>
            </w:r>
          </w:p>
          <w:p w14:paraId="3FCB41BB" w14:textId="7EEEBBB0" w:rsidR="000814FB" w:rsidRPr="00DE1573" w:rsidRDefault="007717AC" w:rsidP="000814FB">
            <w:pPr>
              <w:tabs>
                <w:tab w:val="left" w:pos="540"/>
              </w:tabs>
              <w:ind w:right="468"/>
              <w:rPr>
                <w:rFonts w:ascii="Arial" w:hAnsi="Arial" w:cs="Arial"/>
                <w:bCs/>
                <w:sz w:val="20"/>
              </w:rPr>
            </w:pPr>
            <w:hyperlink r:id="rId37" w:history="1">
              <w:r w:rsidR="000814FB" w:rsidRPr="00DE1573">
                <w:rPr>
                  <w:rFonts w:ascii="Arial" w:hAnsi="Arial" w:cs="Arial"/>
                  <w:bCs/>
                  <w:color w:val="0000FF"/>
                  <w:sz w:val="20"/>
                  <w:u w:val="single"/>
                </w:rPr>
                <w:t>https://clnr.hqi.usmc.mil/clwater/</w:t>
              </w:r>
              <w:r w:rsidR="0098589A" w:rsidRPr="00DE1573">
                <w:rPr>
                  <w:rFonts w:ascii="Arial" w:hAnsi="Arial" w:cs="Arial"/>
                  <w:bCs/>
                  <w:color w:val="0000FF"/>
                  <w:sz w:val="20"/>
                  <w:u w:val="single"/>
                </w:rPr>
                <w:t>home</w:t>
              </w:r>
              <w:r w:rsidR="000814FB" w:rsidRPr="00DE1573">
                <w:rPr>
                  <w:rFonts w:ascii="Arial" w:hAnsi="Arial" w:cs="Arial"/>
                  <w:bCs/>
                  <w:color w:val="0000FF"/>
                  <w:sz w:val="20"/>
                  <w:u w:val="single"/>
                </w:rPr>
                <w:t>.html</w:t>
              </w:r>
            </w:hyperlink>
            <w:r w:rsidR="000814FB" w:rsidRPr="00DE1573">
              <w:rPr>
                <w:rFonts w:ascii="Arial" w:hAnsi="Arial" w:cs="Arial"/>
                <w:bCs/>
                <w:sz w:val="20"/>
              </w:rPr>
              <w:t xml:space="preserve"> </w:t>
            </w:r>
          </w:p>
          <w:p w14:paraId="73A56757" w14:textId="77777777" w:rsidR="000814FB" w:rsidRPr="00DE1573" w:rsidRDefault="000814FB" w:rsidP="000814FB">
            <w:pPr>
              <w:tabs>
                <w:tab w:val="left" w:pos="540"/>
              </w:tabs>
              <w:ind w:right="468"/>
              <w:rPr>
                <w:rFonts w:ascii="Arial" w:hAnsi="Arial" w:cs="Arial"/>
                <w:bCs/>
                <w:sz w:val="20"/>
              </w:rPr>
            </w:pPr>
          </w:p>
          <w:p w14:paraId="2B7A6E97"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 xml:space="preserve">NRC Report on Water Contamination at Camp Lejeune </w:t>
            </w:r>
          </w:p>
          <w:p w14:paraId="12F1659C" w14:textId="77777777" w:rsidR="000814FB" w:rsidRPr="00DE1573" w:rsidRDefault="00D872BE" w:rsidP="000814FB">
            <w:pPr>
              <w:tabs>
                <w:tab w:val="left" w:pos="540"/>
              </w:tabs>
              <w:ind w:right="468"/>
              <w:rPr>
                <w:rFonts w:ascii="Arial" w:hAnsi="Arial" w:cs="Arial"/>
                <w:bCs/>
                <w:sz w:val="20"/>
              </w:rPr>
            </w:pPr>
            <w:hyperlink r:id="rId38" w:history="1">
              <w:r w:rsidR="000814FB" w:rsidRPr="00DE1573">
                <w:rPr>
                  <w:rFonts w:ascii="Arial" w:hAnsi="Arial" w:cs="Arial"/>
                  <w:bCs/>
                  <w:color w:val="0000FF"/>
                  <w:sz w:val="20"/>
                  <w:u w:val="single"/>
                </w:rPr>
                <w:t>http://books.nap.edu/catalog.php?record_id=12618</w:t>
              </w:r>
            </w:hyperlink>
            <w:r w:rsidR="000814FB" w:rsidRPr="00DE1573">
              <w:rPr>
                <w:rFonts w:ascii="Arial" w:hAnsi="Arial" w:cs="Arial"/>
                <w:bCs/>
                <w:sz w:val="20"/>
              </w:rPr>
              <w:t xml:space="preserve"> </w:t>
            </w:r>
          </w:p>
          <w:p w14:paraId="51D3C17A" w14:textId="77777777" w:rsidR="000814FB" w:rsidRPr="00DE1573" w:rsidRDefault="000814FB" w:rsidP="000814FB">
            <w:pPr>
              <w:tabs>
                <w:tab w:val="left" w:pos="540"/>
              </w:tabs>
              <w:ind w:right="468"/>
              <w:rPr>
                <w:rFonts w:ascii="Arial" w:hAnsi="Arial" w:cs="Arial"/>
                <w:bCs/>
                <w:sz w:val="20"/>
              </w:rPr>
            </w:pPr>
          </w:p>
          <w:p w14:paraId="43B23AD0"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US Navy Funding of ATSDR Camp Lejeune Studies</w:t>
            </w:r>
          </w:p>
          <w:p w14:paraId="27872112" w14:textId="27A345B3" w:rsidR="000814FB" w:rsidRPr="00DE1573" w:rsidRDefault="009F6EC6" w:rsidP="000814FB">
            <w:pPr>
              <w:tabs>
                <w:tab w:val="left" w:pos="540"/>
              </w:tabs>
              <w:ind w:right="468"/>
              <w:rPr>
                <w:rFonts w:ascii="Arial" w:hAnsi="Arial" w:cs="Arial"/>
                <w:bCs/>
                <w:sz w:val="20"/>
              </w:rPr>
            </w:pPr>
            <w:hyperlink r:id="rId39" w:history="1">
              <w:r w:rsidRPr="00DE1573">
                <w:rPr>
                  <w:rStyle w:val="Hyperlink"/>
                  <w:rFonts w:ascii="Arial" w:hAnsi="Arial" w:cs="Arial"/>
                  <w:bCs/>
                  <w:sz w:val="20"/>
                </w:rPr>
                <w:t>http://www.navy.mil/submit/display.asp?story_id=51453</w:t>
              </w:r>
            </w:hyperlink>
            <w:r w:rsidR="000814FB" w:rsidRPr="00DE1573">
              <w:rPr>
                <w:rFonts w:ascii="Arial" w:hAnsi="Arial" w:cs="Arial"/>
                <w:bCs/>
                <w:sz w:val="20"/>
              </w:rPr>
              <w:t xml:space="preserve"> </w:t>
            </w:r>
          </w:p>
          <w:p w14:paraId="060C6B69" w14:textId="77777777" w:rsidR="000814FB" w:rsidRPr="00DE1573" w:rsidRDefault="000814FB" w:rsidP="000814FB">
            <w:pPr>
              <w:tabs>
                <w:tab w:val="left" w:pos="540"/>
              </w:tabs>
              <w:ind w:right="468"/>
              <w:rPr>
                <w:rFonts w:ascii="Arial" w:hAnsi="Arial" w:cs="Arial"/>
                <w:bCs/>
                <w:sz w:val="20"/>
              </w:rPr>
            </w:pPr>
          </w:p>
          <w:p w14:paraId="258153A4"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 xml:space="preserve">ATSDR Home Page for Camp Lejeune </w:t>
            </w:r>
          </w:p>
          <w:p w14:paraId="6D7292C4" w14:textId="77777777" w:rsidR="000814FB" w:rsidRPr="00DE1573" w:rsidRDefault="000814FB" w:rsidP="000814FB">
            <w:pPr>
              <w:tabs>
                <w:tab w:val="left" w:pos="540"/>
              </w:tabs>
              <w:ind w:right="468"/>
              <w:rPr>
                <w:rFonts w:ascii="Arial" w:hAnsi="Arial" w:cs="Arial"/>
                <w:bCs/>
                <w:sz w:val="20"/>
              </w:rPr>
            </w:pPr>
            <w:r w:rsidRPr="00DE1573">
              <w:rPr>
                <w:rFonts w:ascii="Arial" w:hAnsi="Arial" w:cs="Arial"/>
                <w:bCs/>
                <w:sz w:val="20"/>
              </w:rPr>
              <w:t xml:space="preserve"> </w:t>
            </w:r>
            <w:hyperlink r:id="rId40" w:history="1">
              <w:r w:rsidRPr="00DE1573">
                <w:rPr>
                  <w:rFonts w:ascii="Arial" w:hAnsi="Arial" w:cs="Arial"/>
                  <w:bCs/>
                  <w:color w:val="0000FF"/>
                  <w:sz w:val="20"/>
                  <w:u w:val="single"/>
                </w:rPr>
                <w:t>http://www.atsdr.cdc.gov/sites/lejeune/index.html</w:t>
              </w:r>
            </w:hyperlink>
            <w:r w:rsidRPr="00DE1573">
              <w:rPr>
                <w:rFonts w:ascii="Arial" w:hAnsi="Arial" w:cs="Arial"/>
                <w:bCs/>
                <w:sz w:val="20"/>
              </w:rPr>
              <w:t xml:space="preserve"> </w:t>
            </w:r>
          </w:p>
          <w:p w14:paraId="5F756163" w14:textId="77777777" w:rsidR="000814FB" w:rsidRPr="00DE1573" w:rsidRDefault="000814FB" w:rsidP="000814FB">
            <w:pPr>
              <w:tabs>
                <w:tab w:val="left" w:pos="540"/>
              </w:tabs>
              <w:ind w:right="468"/>
              <w:rPr>
                <w:rFonts w:ascii="Arial" w:hAnsi="Arial" w:cs="Arial"/>
                <w:bCs/>
                <w:sz w:val="20"/>
              </w:rPr>
            </w:pPr>
          </w:p>
          <w:p w14:paraId="3525FA4B"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 xml:space="preserve">ATSDR Feasibility Assessment for Future Studies of Camp Lejeune </w:t>
            </w:r>
          </w:p>
          <w:p w14:paraId="0CFFD53C" w14:textId="77777777" w:rsidR="000814FB" w:rsidRPr="00DE1573" w:rsidRDefault="00D872BE" w:rsidP="000814FB">
            <w:pPr>
              <w:tabs>
                <w:tab w:val="left" w:pos="540"/>
              </w:tabs>
              <w:ind w:right="468"/>
              <w:rPr>
                <w:rFonts w:ascii="Arial" w:hAnsi="Arial" w:cs="Arial"/>
                <w:sz w:val="20"/>
              </w:rPr>
            </w:pPr>
            <w:hyperlink r:id="rId41" w:history="1">
              <w:r w:rsidR="000814FB" w:rsidRPr="00DE1573">
                <w:rPr>
                  <w:rFonts w:ascii="Arial" w:hAnsi="Arial" w:cs="Arial"/>
                  <w:color w:val="0000FF"/>
                  <w:sz w:val="20"/>
                  <w:u w:val="single"/>
                </w:rPr>
                <w:t>http://www.atsdr.cdc.gov/sites/lejeune/docs/feasibility_assessment_Lejeune.pdf</w:t>
              </w:r>
            </w:hyperlink>
            <w:r w:rsidR="000814FB" w:rsidRPr="00DE1573">
              <w:rPr>
                <w:rFonts w:ascii="Arial" w:hAnsi="Arial" w:cs="Arial"/>
                <w:sz w:val="20"/>
              </w:rPr>
              <w:t xml:space="preserve"> </w:t>
            </w:r>
          </w:p>
        </w:tc>
      </w:tr>
    </w:tbl>
    <w:p w14:paraId="4ED8F684" w14:textId="12E30852" w:rsidR="00E475B3" w:rsidRPr="00DE1573" w:rsidRDefault="0088121C" w:rsidP="0088121C">
      <w:pPr>
        <w:tabs>
          <w:tab w:val="left" w:pos="9360"/>
        </w:tabs>
        <w:ind w:left="1714"/>
      </w:pPr>
      <w:r w:rsidRPr="00DE1573">
        <w:rPr>
          <w:u w:val="single"/>
        </w:rPr>
        <w:tab/>
      </w:r>
    </w:p>
    <w:p w14:paraId="2AC2E4D1" w14:textId="11D0F427" w:rsidR="0088121C" w:rsidRPr="00DE1573" w:rsidRDefault="0088121C" w:rsidP="0088121C">
      <w:pPr>
        <w:ind w:left="1714"/>
      </w:pPr>
    </w:p>
    <w:p w14:paraId="183347EC" w14:textId="77777777" w:rsidR="0088121C" w:rsidRPr="00DE1573" w:rsidRDefault="0088121C" w:rsidP="0088121C"/>
    <w:p w14:paraId="4626AA9D" w14:textId="6A50821D" w:rsidR="000814FB" w:rsidRPr="00DE1573" w:rsidRDefault="000814FB">
      <w:r w:rsidRPr="00DE1573">
        <w:br w:type="page"/>
      </w:r>
    </w:p>
    <w:p w14:paraId="388F9D84" w14:textId="2D78E1BE" w:rsidR="000814FB" w:rsidRPr="00DE1573" w:rsidRDefault="000814FB" w:rsidP="000814FB">
      <w:pPr>
        <w:rPr>
          <w:rFonts w:ascii="Arial" w:hAnsi="Arial" w:cs="Arial"/>
          <w:b/>
          <w:sz w:val="32"/>
          <w:szCs w:val="32"/>
        </w:rPr>
      </w:pPr>
      <w:r w:rsidRPr="00DE1573">
        <w:rPr>
          <w:rFonts w:ascii="Arial" w:hAnsi="Arial" w:cs="Arial"/>
          <w:b/>
          <w:sz w:val="32"/>
          <w:szCs w:val="32"/>
        </w:rPr>
        <w:lastRenderedPageBreak/>
        <w:t>1</w:t>
      </w:r>
      <w:r w:rsidR="00327641" w:rsidRPr="00DE1573">
        <w:rPr>
          <w:rFonts w:ascii="Arial" w:hAnsi="Arial" w:cs="Arial"/>
          <w:b/>
          <w:sz w:val="32"/>
          <w:szCs w:val="32"/>
        </w:rPr>
        <w:t>5</w:t>
      </w:r>
      <w:r w:rsidRPr="00DE1573">
        <w:rPr>
          <w:rFonts w:ascii="Arial" w:hAnsi="Arial" w:cs="Arial"/>
          <w:b/>
          <w:sz w:val="32"/>
          <w:szCs w:val="32"/>
        </w:rPr>
        <w:t>.  Exhibit 7:  Diseases Potentially Associated With Exposure to Contaminants Present in the Camp L</w:t>
      </w:r>
      <w:r w:rsidR="00B867FD" w:rsidRPr="00DE1573">
        <w:rPr>
          <w:rFonts w:ascii="Arial" w:hAnsi="Arial" w:cs="Arial"/>
          <w:b/>
          <w:sz w:val="32"/>
          <w:szCs w:val="32"/>
        </w:rPr>
        <w:t xml:space="preserve">ejeune Water Supply </w:t>
      </w:r>
      <w:proofErr w:type="gramStart"/>
      <w:r w:rsidR="00B867FD" w:rsidRPr="00DE1573">
        <w:rPr>
          <w:rFonts w:ascii="Arial" w:hAnsi="Arial" w:cs="Arial"/>
          <w:b/>
          <w:sz w:val="32"/>
          <w:szCs w:val="32"/>
        </w:rPr>
        <w:t>Between</w:t>
      </w:r>
      <w:proofErr w:type="gramEnd"/>
      <w:r w:rsidR="00B867FD" w:rsidRPr="00DE1573">
        <w:rPr>
          <w:rFonts w:ascii="Arial" w:hAnsi="Arial" w:cs="Arial"/>
          <w:b/>
          <w:sz w:val="32"/>
          <w:szCs w:val="32"/>
        </w:rPr>
        <w:t xml:space="preserve"> 1953</w:t>
      </w:r>
      <w:r w:rsidRPr="00DE1573">
        <w:rPr>
          <w:rFonts w:ascii="Arial" w:hAnsi="Arial" w:cs="Arial"/>
          <w:b/>
          <w:sz w:val="32"/>
          <w:szCs w:val="32"/>
        </w:rPr>
        <w:t xml:space="preserve"> and 1987</w:t>
      </w:r>
    </w:p>
    <w:p w14:paraId="789AA5B2" w14:textId="2CEF23B2" w:rsidR="000814FB" w:rsidRPr="00DE1573" w:rsidRDefault="000814FB" w:rsidP="000814FB">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D4684C" w:rsidRPr="00DE1573" w14:paraId="33D88BAC" w14:textId="77777777" w:rsidTr="00D4684C">
        <w:tc>
          <w:tcPr>
            <w:tcW w:w="1728" w:type="dxa"/>
            <w:shd w:val="clear" w:color="auto" w:fill="auto"/>
          </w:tcPr>
          <w:p w14:paraId="528CEDD0" w14:textId="7DC1B698" w:rsidR="00D4684C" w:rsidRPr="00DE1573" w:rsidRDefault="00D4684C" w:rsidP="00D4684C">
            <w:pPr>
              <w:rPr>
                <w:b/>
                <w:sz w:val="22"/>
              </w:rPr>
            </w:pPr>
            <w:r w:rsidRPr="00DE1573">
              <w:rPr>
                <w:b/>
                <w:sz w:val="22"/>
              </w:rPr>
              <w:t>Change Date</w:t>
            </w:r>
          </w:p>
        </w:tc>
        <w:tc>
          <w:tcPr>
            <w:tcW w:w="7740" w:type="dxa"/>
            <w:shd w:val="clear" w:color="auto" w:fill="auto"/>
          </w:tcPr>
          <w:p w14:paraId="038C2E4A" w14:textId="0B86EC05" w:rsidR="00D4684C" w:rsidRPr="00DE1573" w:rsidRDefault="00D4684C" w:rsidP="00D4684C">
            <w:r w:rsidRPr="00DE1573">
              <w:t>August 7, 2015</w:t>
            </w:r>
          </w:p>
        </w:tc>
      </w:tr>
    </w:tbl>
    <w:p w14:paraId="55783656" w14:textId="77777777" w:rsidR="000814FB" w:rsidRPr="00DE1573" w:rsidRDefault="000814FB" w:rsidP="000814FB">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814FB" w:rsidRPr="00DE1573" w14:paraId="5FF1502D" w14:textId="77777777" w:rsidTr="007F12FF">
        <w:tc>
          <w:tcPr>
            <w:tcW w:w="1728" w:type="dxa"/>
            <w:shd w:val="clear" w:color="auto" w:fill="auto"/>
          </w:tcPr>
          <w:p w14:paraId="7FC9615F" w14:textId="1EAD6D28" w:rsidR="000814FB" w:rsidRPr="00DE1573" w:rsidRDefault="00D4684C" w:rsidP="00D4684C">
            <w:pPr>
              <w:rPr>
                <w:b/>
              </w:rPr>
            </w:pPr>
            <w:r w:rsidRPr="00DE1573">
              <w:rPr>
                <w:b/>
              </w:rPr>
              <w:t>a.  Diseases and Exposure to Camp Lejeune Water Supply Between 1953 and 1987</w:t>
            </w:r>
          </w:p>
        </w:tc>
        <w:tc>
          <w:tcPr>
            <w:tcW w:w="7740" w:type="dxa"/>
            <w:shd w:val="clear" w:color="auto" w:fill="auto"/>
          </w:tcPr>
          <w:p w14:paraId="6BA97B6F" w14:textId="0D328787" w:rsidR="000814FB" w:rsidRPr="00DE1573" w:rsidRDefault="000814FB" w:rsidP="007F12FF">
            <w:r w:rsidRPr="00DE1573">
              <w:rPr>
                <w:i/>
              </w:rPr>
              <w:t>Diseases Potentially Associated With Exposure to Contaminants Present in the Camp L</w:t>
            </w:r>
            <w:r w:rsidR="00B867FD" w:rsidRPr="00DE1573">
              <w:rPr>
                <w:i/>
              </w:rPr>
              <w:t>ejeune Water Supply Between 1953</w:t>
            </w:r>
            <w:r w:rsidRPr="00DE1573">
              <w:rPr>
                <w:i/>
              </w:rPr>
              <w:t xml:space="preserve"> and 1987</w:t>
            </w:r>
            <w:r w:rsidRPr="00DE1573">
              <w:t xml:space="preserve"> are shown below.</w:t>
            </w:r>
          </w:p>
        </w:tc>
      </w:tr>
    </w:tbl>
    <w:p w14:paraId="479DBC1E" w14:textId="77777777" w:rsidR="000814FB" w:rsidRPr="00DE1573" w:rsidRDefault="000814FB" w:rsidP="000814FB">
      <w:pPr>
        <w:rPr>
          <w:rFonts w:ascii="Arial" w:hAnsi="Arial" w:cs="Arial"/>
          <w:sz w:val="32"/>
          <w:szCs w:val="32"/>
        </w:rPr>
      </w:pPr>
    </w:p>
    <w:tbl>
      <w:tblPr>
        <w:tblStyle w:val="TableGrid"/>
        <w:tblW w:w="0" w:type="auto"/>
        <w:tblLook w:val="04A0" w:firstRow="1" w:lastRow="0" w:firstColumn="1" w:lastColumn="0" w:noHBand="0" w:noVBand="1"/>
      </w:tblPr>
      <w:tblGrid>
        <w:gridCol w:w="9576"/>
      </w:tblGrid>
      <w:tr w:rsidR="000814FB" w:rsidRPr="00DE1573" w14:paraId="1B369E46" w14:textId="77777777" w:rsidTr="007F12FF">
        <w:tc>
          <w:tcPr>
            <w:tcW w:w="9576" w:type="dxa"/>
          </w:tcPr>
          <w:p w14:paraId="0946A8B6" w14:textId="77777777" w:rsidR="000814FB" w:rsidRPr="00DE1573" w:rsidRDefault="000814FB" w:rsidP="007F12FF">
            <w:pPr>
              <w:rPr>
                <w:b/>
                <w:bCs/>
              </w:rPr>
            </w:pPr>
            <w:r w:rsidRPr="00DE1573">
              <w:rPr>
                <w:rFonts w:ascii="Arial" w:hAnsi="Arial" w:cs="Arial"/>
              </w:rPr>
              <w:t xml:space="preserve"> </w:t>
            </w:r>
            <w:r w:rsidRPr="00DE1573">
              <w:rPr>
                <w:b/>
                <w:bCs/>
              </w:rPr>
              <w:t>Appendix B</w:t>
            </w:r>
          </w:p>
          <w:p w14:paraId="76C3117A" w14:textId="77777777" w:rsidR="000814FB" w:rsidRPr="00DE1573" w:rsidRDefault="000814FB" w:rsidP="007F12FF">
            <w:pPr>
              <w:rPr>
                <w:i/>
                <w:iCs/>
                <w:u w:val="single"/>
              </w:rPr>
            </w:pPr>
          </w:p>
          <w:p w14:paraId="34825A79" w14:textId="1D11090D" w:rsidR="000814FB" w:rsidRPr="00DE1573" w:rsidRDefault="000814FB" w:rsidP="007F12FF">
            <w:pPr>
              <w:rPr>
                <w:i/>
                <w:iCs/>
                <w:u w:val="single"/>
              </w:rPr>
            </w:pPr>
            <w:r w:rsidRPr="00DE1573">
              <w:rPr>
                <w:i/>
                <w:iCs/>
                <w:u w:val="single"/>
              </w:rPr>
              <w:t xml:space="preserve">Diseases potentially associated with exposure to contaminants present in the </w:t>
            </w:r>
            <w:r w:rsidRPr="00DE1573">
              <w:rPr>
                <w:bCs/>
                <w:i/>
                <w:iCs/>
                <w:u w:val="single"/>
              </w:rPr>
              <w:t>Camp Lejeune</w:t>
            </w:r>
            <w:r w:rsidR="00B867FD" w:rsidRPr="00DE1573">
              <w:rPr>
                <w:i/>
                <w:iCs/>
                <w:u w:val="single"/>
              </w:rPr>
              <w:t xml:space="preserve"> water supply between 1953</w:t>
            </w:r>
            <w:r w:rsidRPr="00DE1573">
              <w:rPr>
                <w:i/>
                <w:iCs/>
                <w:u w:val="single"/>
              </w:rPr>
              <w:t xml:space="preserve"> and 1987</w:t>
            </w:r>
          </w:p>
          <w:p w14:paraId="07D5B60B" w14:textId="77777777" w:rsidR="000814FB" w:rsidRPr="00DE1573" w:rsidRDefault="000814FB" w:rsidP="007F12FF">
            <w:pPr>
              <w:rPr>
                <w:i/>
                <w:iCs/>
              </w:rPr>
            </w:pPr>
          </w:p>
          <w:p w14:paraId="2CB56E8F" w14:textId="77777777" w:rsidR="000814FB" w:rsidRPr="00DE1573" w:rsidRDefault="000814FB" w:rsidP="007F12FF">
            <w:pPr>
              <w:pStyle w:val="NormalWeb"/>
              <w:spacing w:before="0" w:after="0"/>
              <w:rPr>
                <w:b/>
                <w:bCs/>
              </w:rPr>
            </w:pPr>
            <w:r w:rsidRPr="00DE1573">
              <w:rPr>
                <w:b/>
                <w:bCs/>
              </w:rPr>
              <w:t>I. National Research Council</w:t>
            </w:r>
          </w:p>
          <w:p w14:paraId="475F1E05" w14:textId="77777777" w:rsidR="000814FB" w:rsidRPr="00DE1573" w:rsidRDefault="000814FB" w:rsidP="007F12FF"/>
          <w:p w14:paraId="270F76E4" w14:textId="77777777" w:rsidR="000814FB" w:rsidRPr="00DE1573" w:rsidRDefault="000814FB" w:rsidP="007F12FF">
            <w:pPr>
              <w:rPr>
                <w:lang w:val="en"/>
              </w:rPr>
            </w:pPr>
            <w:r w:rsidRPr="00DE1573">
              <w:t xml:space="preserve">The National Academy of Sciences’ National Research Council (NRC) published its </w:t>
            </w:r>
            <w:r w:rsidRPr="00DE1573">
              <w:rPr>
                <w:i/>
                <w:iCs/>
              </w:rPr>
              <w:t>Contaminated Water Supplies at Camp Lejeune, Assessing Potential Health Effects</w:t>
            </w:r>
            <w:r w:rsidRPr="00DE1573">
              <w:t>, in 2009.  This report included</w:t>
            </w:r>
            <w:r w:rsidRPr="00DE1573">
              <w:rPr>
                <w:lang w:val="en"/>
              </w:rPr>
              <w:t xml:space="preserve"> a review of studies addressing exposure to </w:t>
            </w:r>
            <w:r w:rsidRPr="00DE1573">
              <w:t>Trichloroethylene</w:t>
            </w:r>
            <w:r w:rsidRPr="00DE1573">
              <w:rPr>
                <w:lang w:val="en"/>
              </w:rPr>
              <w:t xml:space="preserve"> (TCE), and</w:t>
            </w:r>
            <w:r w:rsidRPr="00DE1573">
              <w:rPr>
                <w:i/>
                <w:iCs/>
              </w:rPr>
              <w:t xml:space="preserve"> </w:t>
            </w:r>
            <w:r w:rsidRPr="00DE1573">
              <w:t xml:space="preserve">Tetrachloroethylene or </w:t>
            </w:r>
            <w:proofErr w:type="spellStart"/>
            <w:r w:rsidRPr="00DE1573">
              <w:t>Perchloroethylene</w:t>
            </w:r>
            <w:proofErr w:type="spellEnd"/>
            <w:r w:rsidRPr="00DE1573">
              <w:rPr>
                <w:lang w:val="en"/>
              </w:rPr>
              <w:t xml:space="preserve"> (PCE), as well as a mixture of the two, and a discussion of disease manifestations potentially associated with such exposure. Fourteen disease conditions were identified as having limited/suggestive evidence of an association with TCE, PCE, or a solvent mixture exposure.  They include: </w:t>
            </w:r>
          </w:p>
          <w:p w14:paraId="1750D0D6" w14:textId="77777777" w:rsidR="000814FB" w:rsidRPr="00DE1573" w:rsidRDefault="000814FB" w:rsidP="007F12FF">
            <w:pPr>
              <w:rPr>
                <w:lang w:val="en"/>
              </w:rPr>
            </w:pPr>
          </w:p>
          <w:p w14:paraId="12686A93" w14:textId="77777777" w:rsidR="000814FB" w:rsidRPr="00DE1573" w:rsidRDefault="000814FB" w:rsidP="00DA4813">
            <w:pPr>
              <w:numPr>
                <w:ilvl w:val="0"/>
                <w:numId w:val="15"/>
              </w:numPr>
              <w:rPr>
                <w:lang w:val="en"/>
              </w:rPr>
            </w:pPr>
            <w:r w:rsidRPr="00DE1573">
              <w:rPr>
                <w:lang w:val="en"/>
              </w:rPr>
              <w:t>esophageal cancer</w:t>
            </w:r>
          </w:p>
          <w:p w14:paraId="4ACD5228" w14:textId="77777777" w:rsidR="000814FB" w:rsidRPr="00DE1573" w:rsidRDefault="000814FB" w:rsidP="00DA4813">
            <w:pPr>
              <w:numPr>
                <w:ilvl w:val="0"/>
                <w:numId w:val="15"/>
              </w:numPr>
              <w:rPr>
                <w:lang w:val="en"/>
              </w:rPr>
            </w:pPr>
            <w:r w:rsidRPr="00DE1573">
              <w:rPr>
                <w:lang w:val="en"/>
              </w:rPr>
              <w:t xml:space="preserve">lung cancer </w:t>
            </w:r>
          </w:p>
          <w:p w14:paraId="41D5B0AF" w14:textId="77777777" w:rsidR="000814FB" w:rsidRPr="00DE1573" w:rsidRDefault="000814FB" w:rsidP="00DA4813">
            <w:pPr>
              <w:numPr>
                <w:ilvl w:val="0"/>
                <w:numId w:val="15"/>
              </w:numPr>
              <w:rPr>
                <w:lang w:val="en"/>
              </w:rPr>
            </w:pPr>
            <w:r w:rsidRPr="00DE1573">
              <w:rPr>
                <w:lang w:val="en"/>
              </w:rPr>
              <w:t xml:space="preserve">breast cancer </w:t>
            </w:r>
          </w:p>
          <w:p w14:paraId="3DE7EF7C" w14:textId="77777777" w:rsidR="000814FB" w:rsidRPr="00DE1573" w:rsidRDefault="000814FB" w:rsidP="00DA4813">
            <w:pPr>
              <w:numPr>
                <w:ilvl w:val="0"/>
                <w:numId w:val="15"/>
              </w:numPr>
              <w:rPr>
                <w:lang w:val="en"/>
              </w:rPr>
            </w:pPr>
            <w:r w:rsidRPr="00DE1573">
              <w:rPr>
                <w:lang w:val="en"/>
              </w:rPr>
              <w:t xml:space="preserve">bladder cancer </w:t>
            </w:r>
          </w:p>
          <w:p w14:paraId="05DB2D96" w14:textId="77777777" w:rsidR="000814FB" w:rsidRPr="00DE1573" w:rsidRDefault="000814FB" w:rsidP="00DA4813">
            <w:pPr>
              <w:numPr>
                <w:ilvl w:val="0"/>
                <w:numId w:val="15"/>
              </w:numPr>
              <w:rPr>
                <w:lang w:val="en"/>
              </w:rPr>
            </w:pPr>
            <w:r w:rsidRPr="00DE1573">
              <w:rPr>
                <w:lang w:val="en"/>
              </w:rPr>
              <w:t xml:space="preserve">kidney cancer </w:t>
            </w:r>
          </w:p>
          <w:p w14:paraId="4470762F" w14:textId="77777777" w:rsidR="000814FB" w:rsidRPr="00DE1573" w:rsidRDefault="000814FB" w:rsidP="00DA4813">
            <w:pPr>
              <w:numPr>
                <w:ilvl w:val="0"/>
                <w:numId w:val="15"/>
              </w:numPr>
              <w:rPr>
                <w:lang w:val="en"/>
              </w:rPr>
            </w:pPr>
            <w:r w:rsidRPr="00DE1573">
              <w:rPr>
                <w:lang w:val="en"/>
              </w:rPr>
              <w:t xml:space="preserve">adult leukemia </w:t>
            </w:r>
          </w:p>
          <w:p w14:paraId="2972C6BC" w14:textId="77777777" w:rsidR="000814FB" w:rsidRPr="00DE1573" w:rsidRDefault="000814FB" w:rsidP="00DA4813">
            <w:pPr>
              <w:numPr>
                <w:ilvl w:val="0"/>
                <w:numId w:val="15"/>
              </w:numPr>
              <w:rPr>
                <w:lang w:val="en"/>
              </w:rPr>
            </w:pPr>
            <w:r w:rsidRPr="00DE1573">
              <w:rPr>
                <w:lang w:val="en"/>
              </w:rPr>
              <w:t xml:space="preserve">multiple myeloma </w:t>
            </w:r>
          </w:p>
          <w:p w14:paraId="333EF616" w14:textId="77777777" w:rsidR="000814FB" w:rsidRPr="00DE1573" w:rsidRDefault="000814FB" w:rsidP="00DA4813">
            <w:pPr>
              <w:numPr>
                <w:ilvl w:val="0"/>
                <w:numId w:val="15"/>
              </w:numPr>
              <w:rPr>
                <w:lang w:val="en"/>
              </w:rPr>
            </w:pPr>
            <w:r w:rsidRPr="00DE1573">
              <w:rPr>
                <w:lang w:val="en"/>
              </w:rPr>
              <w:t xml:space="preserve">myelodysplastic syndromes </w:t>
            </w:r>
          </w:p>
          <w:p w14:paraId="11737107" w14:textId="77777777" w:rsidR="000814FB" w:rsidRPr="00DE1573" w:rsidRDefault="000814FB" w:rsidP="00DA4813">
            <w:pPr>
              <w:numPr>
                <w:ilvl w:val="0"/>
                <w:numId w:val="15"/>
              </w:numPr>
              <w:rPr>
                <w:lang w:val="en"/>
              </w:rPr>
            </w:pPr>
            <w:r w:rsidRPr="00DE1573">
              <w:rPr>
                <w:lang w:val="en"/>
              </w:rPr>
              <w:t xml:space="preserve">renal toxicity </w:t>
            </w:r>
          </w:p>
          <w:p w14:paraId="14C3D484" w14:textId="77777777" w:rsidR="000814FB" w:rsidRPr="00DE1573" w:rsidRDefault="000814FB" w:rsidP="00DA4813">
            <w:pPr>
              <w:numPr>
                <w:ilvl w:val="0"/>
                <w:numId w:val="15"/>
              </w:numPr>
              <w:rPr>
                <w:lang w:val="en"/>
              </w:rPr>
            </w:pPr>
            <w:r w:rsidRPr="00DE1573">
              <w:rPr>
                <w:lang w:val="en"/>
              </w:rPr>
              <w:t xml:space="preserve">hepatic steatosis </w:t>
            </w:r>
          </w:p>
          <w:p w14:paraId="37BC7D8E" w14:textId="77777777" w:rsidR="000814FB" w:rsidRPr="00DE1573" w:rsidRDefault="000814FB" w:rsidP="00DA4813">
            <w:pPr>
              <w:numPr>
                <w:ilvl w:val="0"/>
                <w:numId w:val="15"/>
              </w:numPr>
              <w:rPr>
                <w:lang w:val="en"/>
              </w:rPr>
            </w:pPr>
            <w:r w:rsidRPr="00DE1573">
              <w:rPr>
                <w:lang w:val="en"/>
              </w:rPr>
              <w:t xml:space="preserve">female infertility </w:t>
            </w:r>
          </w:p>
          <w:p w14:paraId="552993DD" w14:textId="77777777" w:rsidR="000814FB" w:rsidRPr="00DE1573" w:rsidRDefault="000814FB" w:rsidP="00DA4813">
            <w:pPr>
              <w:numPr>
                <w:ilvl w:val="0"/>
                <w:numId w:val="15"/>
              </w:numPr>
              <w:rPr>
                <w:lang w:val="en"/>
              </w:rPr>
            </w:pPr>
            <w:r w:rsidRPr="00DE1573">
              <w:rPr>
                <w:lang w:val="en"/>
              </w:rPr>
              <w:t>miscarriage, with exposure during pregnancy</w:t>
            </w:r>
          </w:p>
          <w:p w14:paraId="371A78FA" w14:textId="77777777" w:rsidR="000814FB" w:rsidRPr="00DE1573" w:rsidRDefault="000814FB" w:rsidP="00DA4813">
            <w:pPr>
              <w:numPr>
                <w:ilvl w:val="0"/>
                <w:numId w:val="15"/>
              </w:numPr>
              <w:rPr>
                <w:lang w:val="en"/>
              </w:rPr>
            </w:pPr>
            <w:r w:rsidRPr="00DE1573">
              <w:rPr>
                <w:lang w:val="en"/>
              </w:rPr>
              <w:t xml:space="preserve">scleroderma </w:t>
            </w:r>
          </w:p>
          <w:p w14:paraId="0D9FD3AF" w14:textId="77777777" w:rsidR="000814FB" w:rsidRPr="00DE1573" w:rsidRDefault="000814FB" w:rsidP="00DA4813">
            <w:pPr>
              <w:numPr>
                <w:ilvl w:val="0"/>
                <w:numId w:val="15"/>
              </w:numPr>
              <w:rPr>
                <w:lang w:val="en"/>
              </w:rPr>
            </w:pPr>
            <w:r w:rsidRPr="00DE1573">
              <w:rPr>
                <w:lang w:val="en"/>
              </w:rPr>
              <w:t>neurobehavioral effects</w:t>
            </w:r>
          </w:p>
          <w:p w14:paraId="5D3A2D2E" w14:textId="77777777" w:rsidR="000814FB" w:rsidRPr="00DE1573" w:rsidRDefault="000814FB" w:rsidP="007F12FF">
            <w:pPr>
              <w:pStyle w:val="NormalWeb"/>
            </w:pPr>
            <w:r w:rsidRPr="00DE1573">
              <w:rPr>
                <w:bCs/>
              </w:rPr>
              <w:t xml:space="preserve">NRC uses the category “limited/suggestive evidence of an association” when the evidence is “limited by the inability to rule out chance and bias, including confounding, with confidence” </w:t>
            </w:r>
            <w:r w:rsidRPr="00DE1573">
              <w:rPr>
                <w:bCs/>
              </w:rPr>
              <w:lastRenderedPageBreak/>
              <w:t xml:space="preserve">[see online report page 6, Box 1].  More specifically, the NRC “concluded that the epidemiological studies give some reason to be concerned that sufficiently high levels of the chemical may cause the disease, but the studies do not provide strong evidence that they actually do so” [see page 7].  While the NRC noted that animal testing showed adverse health effects of TCE and PCE, it also noted that the “highest levels of either TCE or PCE measured in the mixed-water samples at Camp Lejeune were much lower than the lowest dose that caused adverse effects in the most sensitive strains and species of laboratory animals.  The lower levels of exposure may be of some concern for effects on neurotoxicity and </w:t>
            </w:r>
            <w:proofErr w:type="spellStart"/>
            <w:r w:rsidRPr="00DE1573">
              <w:rPr>
                <w:bCs/>
              </w:rPr>
              <w:t>immunotoxicity</w:t>
            </w:r>
            <w:proofErr w:type="spellEnd"/>
            <w:r w:rsidRPr="00DE1573">
              <w:rPr>
                <w:bCs/>
              </w:rPr>
              <w:t xml:space="preserve">, but further research is needed to evaluate the specific effects of TCE and PCE and whether they are relevant to humans” [see page 9]. </w:t>
            </w:r>
          </w:p>
          <w:p w14:paraId="1BE41621" w14:textId="77777777" w:rsidR="000814FB" w:rsidRPr="00DE1573" w:rsidRDefault="000814FB" w:rsidP="007F12FF">
            <w:pPr>
              <w:pStyle w:val="NormalWeb"/>
            </w:pPr>
          </w:p>
          <w:p w14:paraId="1831B05B" w14:textId="77777777" w:rsidR="000814FB" w:rsidRPr="00DE1573" w:rsidRDefault="000814FB" w:rsidP="007F12FF">
            <w:pPr>
              <w:pStyle w:val="NormalWeb"/>
              <w:rPr>
                <w:bCs/>
                <w:lang w:val="en"/>
              </w:rPr>
            </w:pPr>
            <w:r w:rsidRPr="00DE1573">
              <w:t>The National Research Council’s report also contained a listing of disease conditions classified as having</w:t>
            </w:r>
            <w:r w:rsidRPr="00DE1573">
              <w:rPr>
                <w:bCs/>
                <w:lang w:val="en"/>
              </w:rPr>
              <w:t xml:space="preserve"> inadequate/insufficient evidence to determine whether an association existed.  This listing can be found in the report, which is available on the Internet and can be accessed in Appendix C of this training letter.</w:t>
            </w:r>
          </w:p>
          <w:p w14:paraId="454747A9" w14:textId="77777777" w:rsidR="000814FB" w:rsidRPr="00DE1573" w:rsidRDefault="000814FB" w:rsidP="007F12FF">
            <w:pPr>
              <w:pStyle w:val="NormalWeb"/>
              <w:rPr>
                <w:bCs/>
                <w:i/>
                <w:lang w:val="en"/>
              </w:rPr>
            </w:pPr>
          </w:p>
          <w:p w14:paraId="5A94E580" w14:textId="77777777" w:rsidR="000814FB" w:rsidRPr="00DE1573" w:rsidRDefault="000814FB" w:rsidP="007F12FF">
            <w:pPr>
              <w:pStyle w:val="NormalWeb"/>
              <w:rPr>
                <w:b/>
                <w:lang w:val="en"/>
              </w:rPr>
            </w:pPr>
            <w:r w:rsidRPr="00DE1573">
              <w:rPr>
                <w:b/>
                <w:lang w:val="en"/>
              </w:rPr>
              <w:t>II. Other Scientific Organizations</w:t>
            </w:r>
          </w:p>
          <w:p w14:paraId="1D3547CD" w14:textId="77777777" w:rsidR="000814FB" w:rsidRPr="00DE1573" w:rsidRDefault="000814FB" w:rsidP="007F12FF">
            <w:pPr>
              <w:pStyle w:val="NormalWeb"/>
              <w:rPr>
                <w:b/>
                <w:lang w:val="en"/>
              </w:rPr>
            </w:pPr>
          </w:p>
          <w:p w14:paraId="20105752" w14:textId="77777777" w:rsidR="000814FB" w:rsidRPr="00DE1573" w:rsidRDefault="000814FB" w:rsidP="007F12FF">
            <w:pPr>
              <w:pStyle w:val="NormalWeb"/>
              <w:rPr>
                <w:bCs/>
                <w:lang w:val="en"/>
              </w:rPr>
            </w:pPr>
            <w:r w:rsidRPr="00DE1573">
              <w:rPr>
                <w:bCs/>
                <w:lang w:val="en"/>
              </w:rPr>
              <w:t xml:space="preserve">Assessments of potential long-term health effects resulting from exposure to TCE and PCE, as well as benzene and vinyl chloride, are available from a number of scientific sources.  Among the reliable sources are the Chemical Abstract Services (CAS) of the American Chemical Society, the </w:t>
            </w:r>
            <w:r w:rsidRPr="00DE1573">
              <w:rPr>
                <w:lang w:val="en"/>
              </w:rPr>
              <w:t>Agency for Toxic Substances and Disease Registry (</w:t>
            </w:r>
            <w:r w:rsidRPr="00DE1573">
              <w:rPr>
                <w:bCs/>
                <w:lang w:val="en"/>
              </w:rPr>
              <w:t xml:space="preserve">ATSDR), and the Environmental Protection Agency (EPA).  Succinct “substance profiles” are available from CAS, each with a statement of “carcinogenicity” for the chemical compound evaluated.  More extensive analyses of the compounds of interest are provided by ATSDR’s “toxic substance portal” and EPA’s “integrated risk information system” (IRIS).  </w:t>
            </w:r>
          </w:p>
          <w:p w14:paraId="2DF2A215" w14:textId="77777777" w:rsidR="000814FB" w:rsidRPr="00DE1573" w:rsidRDefault="000814FB" w:rsidP="007F12FF">
            <w:pPr>
              <w:pStyle w:val="NormalWeb"/>
              <w:rPr>
                <w:bCs/>
                <w:lang w:val="en"/>
              </w:rPr>
            </w:pPr>
          </w:p>
          <w:p w14:paraId="5040C96F" w14:textId="77777777" w:rsidR="000814FB" w:rsidRPr="00DE1573" w:rsidRDefault="000814FB" w:rsidP="007F12FF">
            <w:pPr>
              <w:pStyle w:val="NormalWeb"/>
              <w:rPr>
                <w:bCs/>
                <w:lang w:val="en"/>
              </w:rPr>
            </w:pPr>
            <w:r w:rsidRPr="00DE1573">
              <w:rPr>
                <w:bCs/>
                <w:lang w:val="en"/>
              </w:rPr>
              <w:t>Regarding the reliability of this group of assessments, a distinction is not always made between potential health effects due to inhalation versus ingestion and dermal contact.  The contaminants involved are volatile organic compounds and are most commonly encountered by humans in the air rather than dissolved in water, as was the case at Camp Lejeune.  However, any of the exposure routes may have occurred.</w:t>
            </w:r>
          </w:p>
          <w:p w14:paraId="607C7DF1" w14:textId="77777777" w:rsidR="000814FB" w:rsidRPr="00DE1573" w:rsidRDefault="000814FB" w:rsidP="007F12FF">
            <w:pPr>
              <w:pStyle w:val="NormalWeb"/>
              <w:rPr>
                <w:bCs/>
                <w:lang w:val="en"/>
              </w:rPr>
            </w:pPr>
          </w:p>
          <w:p w14:paraId="22F85F7E" w14:textId="77777777" w:rsidR="000814FB" w:rsidRPr="00DE1573" w:rsidRDefault="000814FB" w:rsidP="007F12FF">
            <w:pPr>
              <w:pStyle w:val="NormalWeb"/>
              <w:rPr>
                <w:bCs/>
                <w:lang w:val="en"/>
              </w:rPr>
            </w:pPr>
            <w:r w:rsidRPr="00DE1573">
              <w:rPr>
                <w:bCs/>
                <w:lang w:val="en"/>
              </w:rPr>
              <w:t xml:space="preserve">The health assessments provided by the scientific organizations are summarized below for each contaminant.  Their Internet websites, which contain detailed analyses and explanations, are provided in Appendix C of this training letter.  </w:t>
            </w:r>
          </w:p>
          <w:p w14:paraId="2D742F8E" w14:textId="77777777" w:rsidR="000814FB" w:rsidRPr="00DE1573" w:rsidRDefault="000814FB" w:rsidP="007F12FF">
            <w:pPr>
              <w:pStyle w:val="NormalWeb"/>
              <w:rPr>
                <w:bCs/>
                <w:lang w:val="en"/>
              </w:rPr>
            </w:pPr>
          </w:p>
          <w:p w14:paraId="5D5118B3" w14:textId="77777777" w:rsidR="000814FB" w:rsidRPr="00DE1573" w:rsidRDefault="000814FB" w:rsidP="007F12FF">
            <w:pPr>
              <w:rPr>
                <w:lang w:val="en"/>
              </w:rPr>
            </w:pPr>
            <w:r w:rsidRPr="00DE1573">
              <w:rPr>
                <w:i/>
                <w:iCs/>
              </w:rPr>
              <w:t xml:space="preserve">Trichloroethylene </w:t>
            </w:r>
            <w:r w:rsidRPr="00DE1573">
              <w:t xml:space="preserve">(TCE), according to CAS, “is reasonably anticipated to be a human carcinogen” based on limited evidence from human studies and sufficient evidence from experimental animal studies.  It has been associated with excess incidences of liver cancer, kidney cancer, non-Hodgkin’s lymphoma, prostate cancer, and multiple myeloma.  According to ATSDR, </w:t>
            </w:r>
            <w:r w:rsidRPr="00DE1573">
              <w:rPr>
                <w:lang w:val="en"/>
              </w:rPr>
              <w:t xml:space="preserve">drinking small amounts of trichloroethylene for long periods may cause liver and kidney damage, impaired immune system function, and impaired fetal development in pregnant women, although the extent of some of these effects is not yet clear.  Additionally, animal studies suggest that high levels are associated with liver, kidney, and lung cancer.  </w:t>
            </w:r>
          </w:p>
          <w:p w14:paraId="6AD923E9" w14:textId="77777777" w:rsidR="000814FB" w:rsidRPr="00DE1573" w:rsidRDefault="000814FB" w:rsidP="007F12FF">
            <w:pPr>
              <w:rPr>
                <w:lang w:val="en"/>
              </w:rPr>
            </w:pPr>
          </w:p>
          <w:p w14:paraId="27437EB5" w14:textId="77777777" w:rsidR="000814FB" w:rsidRPr="00DE1573" w:rsidRDefault="000814FB" w:rsidP="007F12FF">
            <w:pPr>
              <w:rPr>
                <w:lang w:val="en"/>
              </w:rPr>
            </w:pPr>
            <w:r w:rsidRPr="00DE1573">
              <w:rPr>
                <w:lang w:val="en"/>
              </w:rPr>
              <w:t xml:space="preserve">EPA revised its assessment of TCE on September 28, 2011, and characterized it as “carcinogenic to humans” by all routes of exposure.  </w:t>
            </w:r>
          </w:p>
          <w:p w14:paraId="6360B028" w14:textId="77777777" w:rsidR="000814FB" w:rsidRPr="00DE1573" w:rsidRDefault="000814FB" w:rsidP="007F12FF"/>
          <w:p w14:paraId="0F52D689" w14:textId="77777777" w:rsidR="000814FB" w:rsidRPr="00DE1573" w:rsidRDefault="000814FB" w:rsidP="007F12FF">
            <w:pPr>
              <w:pStyle w:val="NormalWeb"/>
              <w:rPr>
                <w:lang w:val="en"/>
              </w:rPr>
            </w:pPr>
            <w:r w:rsidRPr="00DE1573">
              <w:rPr>
                <w:i/>
                <w:iCs/>
              </w:rPr>
              <w:t xml:space="preserve">Tetrachloroethylene or </w:t>
            </w:r>
            <w:proofErr w:type="spellStart"/>
            <w:r w:rsidRPr="00DE1573">
              <w:rPr>
                <w:i/>
                <w:iCs/>
              </w:rPr>
              <w:t>Perchloroethylene</w:t>
            </w:r>
            <w:proofErr w:type="spellEnd"/>
            <w:r w:rsidRPr="00DE1573">
              <w:t xml:space="preserve"> (PCE), according to CAS, “is reasonably anticipated to be a human carcinogen” based on limited evidence from human studies and sufficient evidence from experimental animal studies.  It has been associated with esophageal and cervical cancer and non-Hodgkin’s lymphoma.  According to ATSDR, pregnant women may be affected, and the r</w:t>
            </w:r>
            <w:r w:rsidRPr="00DE1573">
              <w:rPr>
                <w:lang w:val="en"/>
              </w:rPr>
              <w:t xml:space="preserve">results of animal studies, conducted with amounts much higher than those to which most people are exposed, show that tetrachloroethylene can cause liver and kidney damage.  </w:t>
            </w:r>
          </w:p>
          <w:p w14:paraId="77FCFDBD" w14:textId="77777777" w:rsidR="000814FB" w:rsidRPr="00DE1573" w:rsidRDefault="000814FB" w:rsidP="007F12FF">
            <w:pPr>
              <w:pStyle w:val="NormalWeb"/>
              <w:rPr>
                <w:lang w:val="en"/>
              </w:rPr>
            </w:pPr>
          </w:p>
          <w:p w14:paraId="3F9F2FCD" w14:textId="77777777" w:rsidR="000814FB" w:rsidRPr="00DE1573" w:rsidRDefault="000814FB" w:rsidP="007F12FF">
            <w:pPr>
              <w:pStyle w:val="NormalWeb"/>
              <w:rPr>
                <w:lang w:val="en"/>
              </w:rPr>
            </w:pPr>
            <w:r w:rsidRPr="00DE1573">
              <w:rPr>
                <w:i/>
                <w:iCs/>
                <w:szCs w:val="23"/>
              </w:rPr>
              <w:t>Benzene</w:t>
            </w:r>
            <w:r w:rsidRPr="00DE1573">
              <w:rPr>
                <w:szCs w:val="23"/>
              </w:rPr>
              <w:t>,</w:t>
            </w:r>
            <w:r w:rsidRPr="00DE1573">
              <w:t xml:space="preserve"> according to CAS, “is known to be a human carcinogen” based on sufficient evidence from human studies.  It is primarily associated with increased risk for lymphatic and hematopoietic cancers, total leukemia, and specific histologic types of leukemia, including chronic lymphocytic leukemia, as well as acute myelogenous leukemia.  According to ATSDR, </w:t>
            </w:r>
            <w:r w:rsidRPr="00DE1573">
              <w:rPr>
                <w:szCs w:val="22"/>
              </w:rPr>
              <w:t xml:space="preserve">epidemiological studies and case reports provide clear evidence of a causal relationship between occupational exposure to benzene and the occurrence of acute </w:t>
            </w:r>
            <w:proofErr w:type="spellStart"/>
            <w:r w:rsidRPr="00DE1573">
              <w:rPr>
                <w:szCs w:val="22"/>
              </w:rPr>
              <w:t>nonlymphocytic</w:t>
            </w:r>
            <w:proofErr w:type="spellEnd"/>
            <w:r w:rsidRPr="00DE1573">
              <w:rPr>
                <w:szCs w:val="22"/>
              </w:rPr>
              <w:t xml:space="preserve"> leukemia, particularly the myeloid cell type or acute myelogenous leukemia.  Some studies also provide suggestive evidence of an association with non-Hodgkin’s lymphoma and multiple myeloma.  According to EPA’s current IRIS report,</w:t>
            </w:r>
            <w:r w:rsidRPr="00DE1573">
              <w:rPr>
                <w:bCs/>
                <w:lang w:val="en"/>
              </w:rPr>
              <w:t xml:space="preserve"> </w:t>
            </w:r>
            <w:r w:rsidRPr="00DE1573">
              <w:rPr>
                <w:lang w:val="en"/>
              </w:rPr>
              <w:t xml:space="preserve">benzene is characterized as a known human carcinogen for all routes of exposure based upon convincing human evidence as well as supporting evidence from animal studies.  Epidemiologic studies and case studies provide clear evidence of a causal association between exposure to benzene and acute </w:t>
            </w:r>
            <w:proofErr w:type="spellStart"/>
            <w:r w:rsidRPr="00DE1573">
              <w:rPr>
                <w:lang w:val="en"/>
              </w:rPr>
              <w:t>nonlymphocytic</w:t>
            </w:r>
            <w:proofErr w:type="spellEnd"/>
            <w:r w:rsidRPr="00DE1573">
              <w:rPr>
                <w:lang w:val="en"/>
              </w:rPr>
              <w:t xml:space="preserve"> leukemia and also suggest evidence for chronic </w:t>
            </w:r>
            <w:proofErr w:type="spellStart"/>
            <w:r w:rsidRPr="00DE1573">
              <w:rPr>
                <w:lang w:val="en"/>
              </w:rPr>
              <w:t>nonlymphocytic</w:t>
            </w:r>
            <w:proofErr w:type="spellEnd"/>
            <w:r w:rsidRPr="00DE1573">
              <w:rPr>
                <w:lang w:val="en"/>
              </w:rPr>
              <w:t xml:space="preserve"> leukemia and chronic lymphocytic leukemia.  Other neoplastic conditions that are associated with an increased risk in humans include hematologic neoplasms, blood disorders such as </w:t>
            </w:r>
            <w:proofErr w:type="spellStart"/>
            <w:r w:rsidRPr="00DE1573">
              <w:rPr>
                <w:lang w:val="en"/>
              </w:rPr>
              <w:t>preleukemia</w:t>
            </w:r>
            <w:proofErr w:type="spellEnd"/>
            <w:r w:rsidRPr="00DE1573">
              <w:rPr>
                <w:lang w:val="en"/>
              </w:rPr>
              <w:t xml:space="preserve"> and aplastic anemia, Hodgkin's lymphoma, and myelodysplastic syndrome. </w:t>
            </w:r>
          </w:p>
          <w:p w14:paraId="58F993C7" w14:textId="77777777" w:rsidR="000814FB" w:rsidRPr="00DE1573" w:rsidRDefault="000814FB" w:rsidP="007F12FF">
            <w:pPr>
              <w:pStyle w:val="NormalWeb"/>
              <w:rPr>
                <w:lang w:val="en"/>
              </w:rPr>
            </w:pPr>
          </w:p>
          <w:p w14:paraId="79A71DFE" w14:textId="77777777" w:rsidR="000814FB" w:rsidRPr="00DE1573" w:rsidRDefault="000814FB" w:rsidP="007F12FF">
            <w:pPr>
              <w:pStyle w:val="NormalWeb"/>
              <w:rPr>
                <w:lang w:val="en"/>
              </w:rPr>
            </w:pPr>
            <w:r w:rsidRPr="00DE1573">
              <w:rPr>
                <w:i/>
                <w:iCs/>
                <w:lang w:val="en"/>
              </w:rPr>
              <w:t>Vinyl Chloride</w:t>
            </w:r>
            <w:r w:rsidRPr="00DE1573">
              <w:rPr>
                <w:lang w:val="en"/>
              </w:rPr>
              <w:t xml:space="preserve">, </w:t>
            </w:r>
            <w:r w:rsidRPr="00DE1573">
              <w:t xml:space="preserve">according to CAS, “is known to be a human carcinogen” based on sufficient evidence from human studies.  It is primarily associated with liver cancer, especially </w:t>
            </w:r>
            <w:proofErr w:type="spellStart"/>
            <w:r w:rsidRPr="00DE1573">
              <w:t>angiosarcoma</w:t>
            </w:r>
            <w:proofErr w:type="spellEnd"/>
            <w:r w:rsidRPr="00DE1573">
              <w:t xml:space="preserve"> of the liver, as well as cancer to a lesser extent at other tissue sites including the brain, lung, lymphatic system, and hematopoietic system.  According to ATSDR, v</w:t>
            </w:r>
            <w:r w:rsidRPr="00DE1573">
              <w:rPr>
                <w:color w:val="000000"/>
                <w:szCs w:val="22"/>
              </w:rPr>
              <w:t xml:space="preserve">inyl chloride is a known human and animal carcinogen.  It has been associated with both an increased incidence of hepatic </w:t>
            </w:r>
            <w:proofErr w:type="spellStart"/>
            <w:r w:rsidRPr="00DE1573">
              <w:rPr>
                <w:color w:val="000000"/>
                <w:szCs w:val="22"/>
              </w:rPr>
              <w:t>angiosarcomas</w:t>
            </w:r>
            <w:proofErr w:type="spellEnd"/>
            <w:r w:rsidRPr="00DE1573">
              <w:rPr>
                <w:color w:val="000000"/>
                <w:szCs w:val="22"/>
              </w:rPr>
              <w:t xml:space="preserve"> and hepatotoxicity.  According to EPA’s current IRIS report, </w:t>
            </w:r>
            <w:r w:rsidRPr="00DE1573">
              <w:rPr>
                <w:lang w:val="en"/>
              </w:rPr>
              <w:t xml:space="preserve">studies demonstrate a statistically significant elevated risk of liver cancer, specifically </w:t>
            </w:r>
            <w:proofErr w:type="spellStart"/>
            <w:r w:rsidRPr="00DE1573">
              <w:rPr>
                <w:lang w:val="en"/>
              </w:rPr>
              <w:t>angiosarcomas</w:t>
            </w:r>
            <w:proofErr w:type="spellEnd"/>
            <w:r w:rsidRPr="00DE1573">
              <w:rPr>
                <w:lang w:val="en"/>
              </w:rPr>
              <w:t>, from vinyl chloride exposure. There is also a possible association with brain, soft tissue, and nervous system cancer, as well as cancers of the hematopoietic and lymphatic systems.</w:t>
            </w:r>
          </w:p>
        </w:tc>
      </w:tr>
    </w:tbl>
    <w:p w14:paraId="2D9C8A7F" w14:textId="0A66A532" w:rsidR="00E475B3" w:rsidRPr="00DE1573" w:rsidRDefault="0088121C" w:rsidP="0088121C">
      <w:pPr>
        <w:tabs>
          <w:tab w:val="left" w:pos="9360"/>
        </w:tabs>
        <w:ind w:left="1714"/>
      </w:pPr>
      <w:r w:rsidRPr="00DE1573">
        <w:rPr>
          <w:u w:val="single"/>
        </w:rPr>
        <w:lastRenderedPageBreak/>
        <w:tab/>
      </w:r>
    </w:p>
    <w:p w14:paraId="1EDC2EDB" w14:textId="7FFE4A2B" w:rsidR="0088121C" w:rsidRPr="00DE1573" w:rsidRDefault="0088121C" w:rsidP="0088121C">
      <w:pPr>
        <w:ind w:left="1714"/>
      </w:pPr>
    </w:p>
    <w:p w14:paraId="13F01021" w14:textId="7E416035" w:rsidR="000814FB" w:rsidRPr="00DE1573" w:rsidRDefault="000814FB"/>
    <w:p w14:paraId="71DE54AE" w14:textId="77777777" w:rsidR="00F35F0E" w:rsidRPr="00DE1573" w:rsidRDefault="00F35F0E">
      <w:r w:rsidRPr="00DE1573">
        <w:br w:type="page"/>
      </w:r>
    </w:p>
    <w:p w14:paraId="66454DE0" w14:textId="36979FE8" w:rsidR="000814FB" w:rsidRPr="00DE1573" w:rsidRDefault="004E2FC4" w:rsidP="000814FB">
      <w:pPr>
        <w:rPr>
          <w:rFonts w:ascii="Arial" w:hAnsi="Arial" w:cs="Arial"/>
          <w:b/>
          <w:sz w:val="32"/>
          <w:szCs w:val="32"/>
        </w:rPr>
      </w:pPr>
      <w:r w:rsidRPr="00DE1573">
        <w:rPr>
          <w:rFonts w:ascii="Arial" w:hAnsi="Arial" w:cs="Arial"/>
          <w:b/>
          <w:sz w:val="32"/>
          <w:szCs w:val="32"/>
        </w:rPr>
        <w:lastRenderedPageBreak/>
        <w:t>1</w:t>
      </w:r>
      <w:r w:rsidR="00327641" w:rsidRPr="00DE1573">
        <w:rPr>
          <w:rFonts w:ascii="Arial" w:hAnsi="Arial" w:cs="Arial"/>
          <w:b/>
          <w:sz w:val="32"/>
          <w:szCs w:val="32"/>
        </w:rPr>
        <w:t>6</w:t>
      </w:r>
      <w:r w:rsidR="000814FB" w:rsidRPr="00DE1573">
        <w:rPr>
          <w:rFonts w:ascii="Arial" w:hAnsi="Arial" w:cs="Arial"/>
          <w:b/>
          <w:sz w:val="32"/>
          <w:szCs w:val="32"/>
        </w:rPr>
        <w:t>.  Exhibit 8:  Internet Websites Describing Potential Health Effects of Exposure to Chemical Contaminants Present in the Water Sup</w:t>
      </w:r>
      <w:r w:rsidR="00B867FD" w:rsidRPr="00DE1573">
        <w:rPr>
          <w:rFonts w:ascii="Arial" w:hAnsi="Arial" w:cs="Arial"/>
          <w:b/>
          <w:sz w:val="32"/>
          <w:szCs w:val="32"/>
        </w:rPr>
        <w:t xml:space="preserve">ply of Camp Lejeune </w:t>
      </w:r>
      <w:proofErr w:type="gramStart"/>
      <w:r w:rsidR="00B867FD" w:rsidRPr="00DE1573">
        <w:rPr>
          <w:rFonts w:ascii="Arial" w:hAnsi="Arial" w:cs="Arial"/>
          <w:b/>
          <w:sz w:val="32"/>
          <w:szCs w:val="32"/>
        </w:rPr>
        <w:t>Between</w:t>
      </w:r>
      <w:proofErr w:type="gramEnd"/>
      <w:r w:rsidR="00B867FD" w:rsidRPr="00DE1573">
        <w:rPr>
          <w:rFonts w:ascii="Arial" w:hAnsi="Arial" w:cs="Arial"/>
          <w:b/>
          <w:sz w:val="32"/>
          <w:szCs w:val="32"/>
        </w:rPr>
        <w:t xml:space="preserve"> 1953</w:t>
      </w:r>
      <w:r w:rsidR="000814FB" w:rsidRPr="00DE1573">
        <w:rPr>
          <w:rFonts w:ascii="Arial" w:hAnsi="Arial" w:cs="Arial"/>
          <w:b/>
          <w:sz w:val="32"/>
          <w:szCs w:val="32"/>
        </w:rPr>
        <w:t xml:space="preserve"> and 1987</w:t>
      </w:r>
    </w:p>
    <w:p w14:paraId="0BC96C9C" w14:textId="77777777" w:rsidR="000814FB" w:rsidRPr="00DE1573" w:rsidRDefault="000814FB" w:rsidP="000814FB">
      <w:pPr>
        <w:pBdr>
          <w:top w:val="single" w:sz="6" w:space="1" w:color="000000"/>
          <w:between w:val="single" w:sz="6" w:space="1" w:color="auto"/>
        </w:pBdr>
        <w:spacing w:before="240"/>
        <w:ind w:left="1728"/>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AD5409" w:rsidRPr="00DE1573" w14:paraId="5E390349" w14:textId="77777777" w:rsidTr="00F35F0E">
        <w:tc>
          <w:tcPr>
            <w:tcW w:w="1728" w:type="dxa"/>
            <w:shd w:val="clear" w:color="auto" w:fill="auto"/>
          </w:tcPr>
          <w:p w14:paraId="3086C009" w14:textId="77777777" w:rsidR="00AD5409" w:rsidRPr="00DE1573" w:rsidRDefault="00AD5409" w:rsidP="00F35F0E">
            <w:pPr>
              <w:rPr>
                <w:b/>
                <w:sz w:val="22"/>
              </w:rPr>
            </w:pPr>
            <w:r w:rsidRPr="00DE1573">
              <w:rPr>
                <w:b/>
                <w:sz w:val="22"/>
              </w:rPr>
              <w:t>Change Date</w:t>
            </w:r>
          </w:p>
        </w:tc>
        <w:tc>
          <w:tcPr>
            <w:tcW w:w="7740" w:type="dxa"/>
            <w:shd w:val="clear" w:color="auto" w:fill="auto"/>
          </w:tcPr>
          <w:p w14:paraId="3C81E4F3" w14:textId="77777777" w:rsidR="00AD5409" w:rsidRPr="00DE1573" w:rsidRDefault="00AD5409" w:rsidP="00F35F0E">
            <w:r w:rsidRPr="00DE1573">
              <w:t>August 7, 2015</w:t>
            </w:r>
          </w:p>
        </w:tc>
      </w:tr>
    </w:tbl>
    <w:p w14:paraId="6944A8DC" w14:textId="7B510B22" w:rsidR="00AD5409" w:rsidRPr="00DE1573" w:rsidRDefault="00AD5409" w:rsidP="00AD5409">
      <w:pPr>
        <w:pBdr>
          <w:top w:val="single" w:sz="6" w:space="1" w:color="000000"/>
          <w:between w:val="single" w:sz="6" w:space="1" w:color="auto"/>
        </w:pBdr>
        <w:tabs>
          <w:tab w:val="left" w:pos="9360"/>
        </w:tabs>
        <w:spacing w:before="240"/>
        <w:ind w:left="1714"/>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814FB" w:rsidRPr="00DE1573" w14:paraId="38BE0661" w14:textId="77777777" w:rsidTr="007F12FF">
        <w:tc>
          <w:tcPr>
            <w:tcW w:w="1728" w:type="dxa"/>
            <w:shd w:val="clear" w:color="auto" w:fill="auto"/>
          </w:tcPr>
          <w:p w14:paraId="6D856571" w14:textId="7CCEFA33" w:rsidR="000814FB" w:rsidRPr="00DE1573" w:rsidRDefault="00AD5409" w:rsidP="000814FB">
            <w:pPr>
              <w:rPr>
                <w:b/>
              </w:rPr>
            </w:pPr>
            <w:r w:rsidRPr="00DE1573">
              <w:rPr>
                <w:b/>
              </w:rPr>
              <w:t xml:space="preserve">a.  </w:t>
            </w:r>
            <w:r w:rsidR="000814FB" w:rsidRPr="00DE1573">
              <w:rPr>
                <w:b/>
              </w:rPr>
              <w:t>Internet Websites</w:t>
            </w:r>
            <w:r w:rsidRPr="00DE1573">
              <w:rPr>
                <w:b/>
              </w:rPr>
              <w:t xml:space="preserve"> Describing Health Effects of Exposure to the Water Supply of Camp Lejeune </w:t>
            </w:r>
          </w:p>
        </w:tc>
        <w:tc>
          <w:tcPr>
            <w:tcW w:w="7740" w:type="dxa"/>
            <w:shd w:val="clear" w:color="auto" w:fill="auto"/>
          </w:tcPr>
          <w:p w14:paraId="319192EB" w14:textId="7B94069C" w:rsidR="000814FB" w:rsidRPr="00DE1573" w:rsidRDefault="000814FB" w:rsidP="000814FB">
            <w:r w:rsidRPr="00DE1573">
              <w:rPr>
                <w:i/>
              </w:rPr>
              <w:t>Internet Websites Describing Potential Health Effects of Exposure to Chemical Contaminants Present in the Water Sup</w:t>
            </w:r>
            <w:r w:rsidR="00B867FD" w:rsidRPr="00DE1573">
              <w:rPr>
                <w:i/>
              </w:rPr>
              <w:t>ply of Camp Lejeune Between 1953</w:t>
            </w:r>
            <w:r w:rsidRPr="00DE1573">
              <w:rPr>
                <w:i/>
              </w:rPr>
              <w:t xml:space="preserve"> and 1987</w:t>
            </w:r>
            <w:r w:rsidRPr="00DE1573">
              <w:t xml:space="preserve"> are shown below.</w:t>
            </w:r>
          </w:p>
        </w:tc>
      </w:tr>
    </w:tbl>
    <w:p w14:paraId="6D079C3D" w14:textId="77777777" w:rsidR="000814FB" w:rsidRPr="00DE1573" w:rsidRDefault="000814FB" w:rsidP="000814FB">
      <w:pPr>
        <w:rPr>
          <w:rFonts w:ascii="Arial" w:hAnsi="Arial" w:cs="Arial"/>
          <w:sz w:val="32"/>
          <w:szCs w:val="32"/>
        </w:rPr>
      </w:pPr>
    </w:p>
    <w:tbl>
      <w:tblPr>
        <w:tblStyle w:val="TableGrid"/>
        <w:tblW w:w="0" w:type="auto"/>
        <w:tblLook w:val="04A0" w:firstRow="1" w:lastRow="0" w:firstColumn="1" w:lastColumn="0" w:noHBand="0" w:noVBand="1"/>
      </w:tblPr>
      <w:tblGrid>
        <w:gridCol w:w="9576"/>
      </w:tblGrid>
      <w:tr w:rsidR="000814FB" w:rsidRPr="00DE1573" w14:paraId="3717CD52" w14:textId="77777777" w:rsidTr="007F12FF">
        <w:tc>
          <w:tcPr>
            <w:tcW w:w="9576" w:type="dxa"/>
          </w:tcPr>
          <w:p w14:paraId="5801CAAB" w14:textId="5DCA2324" w:rsidR="000814FB" w:rsidRPr="00DE1573" w:rsidRDefault="000814FB" w:rsidP="000814FB">
            <w:pPr>
              <w:tabs>
                <w:tab w:val="left" w:pos="540"/>
              </w:tabs>
              <w:ind w:right="468"/>
              <w:rPr>
                <w:rFonts w:ascii="Arial" w:hAnsi="Arial" w:cs="Arial"/>
                <w:b/>
                <w:bCs/>
                <w:sz w:val="20"/>
              </w:rPr>
            </w:pPr>
            <w:r w:rsidRPr="00DE1573">
              <w:rPr>
                <w:rFonts w:ascii="Arial" w:hAnsi="Arial" w:cs="Arial"/>
              </w:rPr>
              <w:t xml:space="preserve"> </w:t>
            </w:r>
            <w:r w:rsidRPr="00DE1573">
              <w:rPr>
                <w:rFonts w:ascii="Arial" w:hAnsi="Arial" w:cs="Arial"/>
                <w:b/>
                <w:bCs/>
                <w:sz w:val="20"/>
              </w:rPr>
              <w:t>Appendix C</w:t>
            </w:r>
          </w:p>
          <w:p w14:paraId="57C8DB5C" w14:textId="77777777" w:rsidR="000814FB" w:rsidRPr="00DE1573" w:rsidRDefault="000814FB" w:rsidP="000814FB">
            <w:pPr>
              <w:tabs>
                <w:tab w:val="left" w:pos="540"/>
              </w:tabs>
              <w:ind w:right="468"/>
              <w:rPr>
                <w:rFonts w:ascii="Arial" w:hAnsi="Arial" w:cs="Arial"/>
                <w:sz w:val="20"/>
              </w:rPr>
            </w:pPr>
          </w:p>
          <w:p w14:paraId="4F943F13" w14:textId="12D88260"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Internet websites describing potential health effects of exposure to chemical contaminants present in the water sup</w:t>
            </w:r>
            <w:r w:rsidR="00B867FD" w:rsidRPr="00DE1573">
              <w:rPr>
                <w:rFonts w:ascii="Arial" w:hAnsi="Arial" w:cs="Arial"/>
                <w:i/>
                <w:iCs/>
                <w:sz w:val="20"/>
                <w:u w:val="single"/>
              </w:rPr>
              <w:t>ply of Camp Lejeune between 1953</w:t>
            </w:r>
            <w:r w:rsidRPr="00DE1573">
              <w:rPr>
                <w:rFonts w:ascii="Arial" w:hAnsi="Arial" w:cs="Arial"/>
                <w:i/>
                <w:iCs/>
                <w:sz w:val="20"/>
                <w:u w:val="single"/>
              </w:rPr>
              <w:t xml:space="preserve"> and 1987</w:t>
            </w:r>
          </w:p>
          <w:p w14:paraId="05448FE7" w14:textId="77777777" w:rsidR="000814FB" w:rsidRPr="00DE1573" w:rsidRDefault="000814FB" w:rsidP="000814FB">
            <w:pPr>
              <w:tabs>
                <w:tab w:val="left" w:pos="540"/>
              </w:tabs>
              <w:ind w:right="468"/>
              <w:rPr>
                <w:rFonts w:ascii="Arial" w:hAnsi="Arial" w:cs="Arial"/>
                <w:sz w:val="20"/>
              </w:rPr>
            </w:pPr>
          </w:p>
          <w:p w14:paraId="325135C9" w14:textId="77777777" w:rsidR="000814FB" w:rsidRPr="00DE1573" w:rsidRDefault="00A3161B" w:rsidP="000814FB">
            <w:pPr>
              <w:tabs>
                <w:tab w:val="left" w:pos="540"/>
              </w:tabs>
              <w:ind w:right="468"/>
              <w:rPr>
                <w:rFonts w:ascii="Arial" w:hAnsi="Arial" w:cs="Arial"/>
                <w:b/>
                <w:sz w:val="20"/>
              </w:rPr>
            </w:pPr>
            <w:r w:rsidRPr="00DE1573">
              <w:rPr>
                <w:rFonts w:ascii="Arial" w:hAnsi="Arial" w:cs="Arial"/>
                <w:b/>
                <w:sz w:val="20"/>
              </w:rPr>
              <w:t>General</w:t>
            </w:r>
          </w:p>
          <w:p w14:paraId="2EB3074E" w14:textId="11A3A267" w:rsidR="00A3161B" w:rsidRPr="00DE1573" w:rsidRDefault="006F3F49" w:rsidP="000814FB">
            <w:pPr>
              <w:tabs>
                <w:tab w:val="left" w:pos="540"/>
              </w:tabs>
              <w:ind w:right="468"/>
              <w:rPr>
                <w:rFonts w:ascii="Arial" w:hAnsi="Arial" w:cs="Arial"/>
                <w:sz w:val="20"/>
                <w:u w:val="single"/>
              </w:rPr>
            </w:pPr>
            <w:r w:rsidRPr="00DE1573">
              <w:rPr>
                <w:rFonts w:ascii="Arial" w:hAnsi="Arial" w:cs="Arial"/>
                <w:sz w:val="20"/>
                <w:u w:val="single"/>
              </w:rPr>
              <w:t>Committee on Contaminated Drinking Water at Camp Lejeune, NRC</w:t>
            </w:r>
          </w:p>
          <w:p w14:paraId="3812B211" w14:textId="77777777" w:rsidR="006F3F49" w:rsidRPr="00DE1573" w:rsidRDefault="00D872BE" w:rsidP="006F3F49">
            <w:pPr>
              <w:tabs>
                <w:tab w:val="left" w:pos="540"/>
              </w:tabs>
              <w:ind w:right="468"/>
              <w:rPr>
                <w:rFonts w:ascii="Arial" w:hAnsi="Arial" w:cs="Arial"/>
                <w:sz w:val="20"/>
              </w:rPr>
            </w:pPr>
            <w:hyperlink r:id="rId42" w:history="1">
              <w:r w:rsidR="006F3F49" w:rsidRPr="00DE1573">
                <w:rPr>
                  <w:rFonts w:ascii="Arial" w:hAnsi="Arial" w:cs="Arial"/>
                  <w:color w:val="0000FF"/>
                  <w:sz w:val="20"/>
                  <w:u w:val="single"/>
                </w:rPr>
                <w:t>http://books.nap.edu/catalog.php?record_id=12618</w:t>
              </w:r>
            </w:hyperlink>
            <w:r w:rsidR="006F3F49" w:rsidRPr="00DE1573">
              <w:rPr>
                <w:rFonts w:ascii="Arial" w:hAnsi="Arial" w:cs="Arial"/>
                <w:sz w:val="20"/>
              </w:rPr>
              <w:t xml:space="preserve"> </w:t>
            </w:r>
          </w:p>
          <w:p w14:paraId="5446B821" w14:textId="77777777" w:rsidR="006F3F49" w:rsidRPr="00DE1573" w:rsidRDefault="006F3F49" w:rsidP="000814FB">
            <w:pPr>
              <w:tabs>
                <w:tab w:val="left" w:pos="540"/>
              </w:tabs>
              <w:ind w:right="468"/>
              <w:rPr>
                <w:rFonts w:ascii="Arial" w:hAnsi="Arial" w:cs="Arial"/>
                <w:sz w:val="20"/>
              </w:rPr>
            </w:pPr>
          </w:p>
          <w:p w14:paraId="65EFBFC9" w14:textId="419585A7" w:rsidR="00EE6516" w:rsidRPr="00DE1573" w:rsidRDefault="00EE6516" w:rsidP="00EE6516">
            <w:pPr>
              <w:tabs>
                <w:tab w:val="left" w:pos="540"/>
              </w:tabs>
              <w:ind w:right="468"/>
              <w:rPr>
                <w:rFonts w:ascii="Arial" w:hAnsi="Arial" w:cs="Arial"/>
                <w:bCs/>
                <w:sz w:val="20"/>
                <w:u w:val="single"/>
              </w:rPr>
            </w:pPr>
            <w:r w:rsidRPr="00DE1573">
              <w:rPr>
                <w:rFonts w:ascii="Arial" w:hAnsi="Arial" w:cs="Arial"/>
                <w:bCs/>
                <w:sz w:val="20"/>
                <w:u w:val="single"/>
              </w:rPr>
              <w:t>ATSDR (Summary for all contaminants)</w:t>
            </w:r>
          </w:p>
          <w:p w14:paraId="4C89F961" w14:textId="66D0E1F6" w:rsidR="00EE6516" w:rsidRPr="00DE1573" w:rsidRDefault="00D872BE" w:rsidP="00EE6516">
            <w:pPr>
              <w:tabs>
                <w:tab w:val="left" w:pos="540"/>
              </w:tabs>
              <w:ind w:right="468"/>
              <w:rPr>
                <w:rFonts w:ascii="Arial" w:hAnsi="Arial" w:cs="Arial"/>
                <w:sz w:val="20"/>
              </w:rPr>
            </w:pPr>
            <w:hyperlink r:id="rId43" w:history="1">
              <w:r w:rsidR="00EE6516" w:rsidRPr="00DE1573">
                <w:rPr>
                  <w:rFonts w:ascii="Arial" w:hAnsi="Arial" w:cs="Arial"/>
                  <w:color w:val="0000FF"/>
                  <w:sz w:val="20"/>
                  <w:u w:val="single"/>
                </w:rPr>
                <w:t>http://www.atsdr.cdc.gov/sites/lejeune/tce_pce.html</w:t>
              </w:r>
            </w:hyperlink>
          </w:p>
          <w:p w14:paraId="6430E1AB" w14:textId="77777777" w:rsidR="00EE6516" w:rsidRPr="00DE1573" w:rsidRDefault="00EE6516" w:rsidP="000814FB">
            <w:pPr>
              <w:tabs>
                <w:tab w:val="left" w:pos="540"/>
              </w:tabs>
              <w:ind w:right="468"/>
              <w:rPr>
                <w:rFonts w:ascii="Arial" w:hAnsi="Arial" w:cs="Arial"/>
                <w:sz w:val="20"/>
              </w:rPr>
            </w:pPr>
          </w:p>
          <w:p w14:paraId="70892194" w14:textId="77777777" w:rsidR="000814FB" w:rsidRPr="00DE1573" w:rsidRDefault="000814FB" w:rsidP="000814FB">
            <w:pPr>
              <w:tabs>
                <w:tab w:val="left" w:pos="540"/>
              </w:tabs>
              <w:ind w:right="468"/>
              <w:rPr>
                <w:rFonts w:ascii="Arial" w:hAnsi="Arial" w:cs="Arial"/>
                <w:b/>
                <w:bCs/>
                <w:sz w:val="20"/>
              </w:rPr>
            </w:pPr>
            <w:r w:rsidRPr="00DE1573">
              <w:rPr>
                <w:rFonts w:ascii="Arial" w:hAnsi="Arial" w:cs="Arial"/>
                <w:b/>
                <w:bCs/>
                <w:sz w:val="20"/>
              </w:rPr>
              <w:t xml:space="preserve">Trichloroethylene (TCE) </w:t>
            </w:r>
          </w:p>
          <w:p w14:paraId="11CDBB34" w14:textId="77FB6A5B" w:rsidR="000814FB" w:rsidRPr="00DE1573" w:rsidRDefault="00140869" w:rsidP="000814FB">
            <w:pPr>
              <w:tabs>
                <w:tab w:val="left" w:pos="540"/>
              </w:tabs>
              <w:ind w:right="468"/>
              <w:rPr>
                <w:rFonts w:ascii="Arial" w:hAnsi="Arial" w:cs="Arial"/>
                <w:sz w:val="20"/>
                <w:u w:val="single"/>
              </w:rPr>
            </w:pPr>
            <w:r w:rsidRPr="00DE1573">
              <w:rPr>
                <w:rFonts w:ascii="Arial" w:hAnsi="Arial" w:cs="Arial"/>
                <w:sz w:val="20"/>
                <w:u w:val="single"/>
              </w:rPr>
              <w:t>National Toxicology Program</w:t>
            </w:r>
          </w:p>
          <w:p w14:paraId="67153992" w14:textId="1BB005DF" w:rsidR="0036030F" w:rsidRPr="00DE1573" w:rsidRDefault="00D872BE" w:rsidP="000814FB">
            <w:pPr>
              <w:tabs>
                <w:tab w:val="left" w:pos="540"/>
              </w:tabs>
              <w:ind w:right="468"/>
              <w:rPr>
                <w:rFonts w:ascii="Arial" w:hAnsi="Arial" w:cs="Arial"/>
                <w:sz w:val="20"/>
              </w:rPr>
            </w:pPr>
            <w:hyperlink r:id="rId44" w:history="1">
              <w:r w:rsidR="00A3161B" w:rsidRPr="00DE1573">
                <w:rPr>
                  <w:rStyle w:val="Hyperlink"/>
                  <w:rFonts w:ascii="Arial" w:hAnsi="Arial" w:cs="Arial"/>
                  <w:sz w:val="20"/>
                </w:rPr>
                <w:t>http://ntp.niehs.nih.gov/testing/status/agents/ts-10175-p.html</w:t>
              </w:r>
            </w:hyperlink>
          </w:p>
          <w:p w14:paraId="032C183A" w14:textId="77777777" w:rsidR="00140869" w:rsidRPr="00DE1573" w:rsidRDefault="00140869" w:rsidP="000814FB">
            <w:pPr>
              <w:tabs>
                <w:tab w:val="left" w:pos="540"/>
              </w:tabs>
              <w:ind w:right="468"/>
              <w:rPr>
                <w:rFonts w:ascii="Arial" w:hAnsi="Arial" w:cs="Arial"/>
                <w:sz w:val="20"/>
              </w:rPr>
            </w:pPr>
          </w:p>
          <w:p w14:paraId="1C937BC1"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ATSDR</w:t>
            </w:r>
          </w:p>
          <w:p w14:paraId="60FF67FD" w14:textId="545724C8" w:rsidR="000814FB" w:rsidRPr="00DE1573" w:rsidRDefault="00D872BE" w:rsidP="000814FB">
            <w:pPr>
              <w:tabs>
                <w:tab w:val="left" w:pos="540"/>
              </w:tabs>
              <w:ind w:right="468"/>
              <w:rPr>
                <w:rFonts w:ascii="Arial" w:hAnsi="Arial" w:cs="Arial"/>
                <w:sz w:val="20"/>
              </w:rPr>
            </w:pPr>
            <w:hyperlink r:id="rId45" w:history="1">
              <w:r w:rsidR="00A3161B" w:rsidRPr="00DE1573">
                <w:rPr>
                  <w:rStyle w:val="Hyperlink"/>
                  <w:rFonts w:ascii="Arial" w:hAnsi="Arial" w:cs="Arial"/>
                  <w:sz w:val="20"/>
                </w:rPr>
                <w:t>http://www.atsdr.cdc.gov/toxfaqs/tf.asp?id=172&amp;tid=30</w:t>
              </w:r>
            </w:hyperlink>
            <w:r w:rsidR="000814FB" w:rsidRPr="00DE1573">
              <w:rPr>
                <w:rFonts w:ascii="Arial" w:hAnsi="Arial" w:cs="Arial"/>
                <w:sz w:val="20"/>
              </w:rPr>
              <w:t xml:space="preserve"> </w:t>
            </w:r>
          </w:p>
          <w:p w14:paraId="3DBFD648" w14:textId="77777777" w:rsidR="00140869" w:rsidRPr="00DE1573" w:rsidRDefault="00140869" w:rsidP="000814FB">
            <w:pPr>
              <w:tabs>
                <w:tab w:val="left" w:pos="540"/>
              </w:tabs>
              <w:ind w:right="468"/>
              <w:rPr>
                <w:rFonts w:ascii="Arial" w:hAnsi="Arial" w:cs="Arial"/>
                <w:sz w:val="20"/>
              </w:rPr>
            </w:pPr>
          </w:p>
          <w:p w14:paraId="1835F55F"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EPA</w:t>
            </w:r>
          </w:p>
          <w:p w14:paraId="6912F149" w14:textId="7FB205C8" w:rsidR="000814FB" w:rsidRPr="00DE1573" w:rsidRDefault="006E5FE4" w:rsidP="000814FB">
            <w:pPr>
              <w:tabs>
                <w:tab w:val="left" w:pos="540"/>
              </w:tabs>
              <w:ind w:right="468"/>
              <w:rPr>
                <w:rFonts w:ascii="Arial" w:hAnsi="Arial" w:cs="Arial"/>
                <w:sz w:val="20"/>
              </w:rPr>
            </w:pPr>
            <w:hyperlink r:id="rId46" w:history="1">
              <w:r w:rsidR="00CC34AD" w:rsidRPr="00DE1573">
                <w:rPr>
                  <w:rFonts w:ascii="Arial" w:hAnsi="Arial" w:cs="Arial"/>
                  <w:color w:val="0000FF"/>
                  <w:sz w:val="20"/>
                  <w:u w:val="single"/>
                </w:rPr>
                <w:t>http://cfpub.epa.gov/ncea/iris2/chemicalLanding.cfm?substance_nmbr=199</w:t>
              </w:r>
            </w:hyperlink>
          </w:p>
          <w:p w14:paraId="376DE6DB" w14:textId="77777777" w:rsidR="000814FB" w:rsidRPr="00DE1573" w:rsidRDefault="000814FB" w:rsidP="000814FB">
            <w:pPr>
              <w:tabs>
                <w:tab w:val="left" w:pos="540"/>
              </w:tabs>
              <w:ind w:right="468"/>
              <w:rPr>
                <w:rFonts w:ascii="Arial" w:hAnsi="Arial" w:cs="Arial"/>
                <w:b/>
                <w:bCs/>
                <w:sz w:val="20"/>
              </w:rPr>
            </w:pPr>
          </w:p>
          <w:p w14:paraId="0E3E2193" w14:textId="77777777" w:rsidR="000814FB" w:rsidRPr="00DE1573" w:rsidRDefault="000814FB" w:rsidP="000814FB">
            <w:pPr>
              <w:tabs>
                <w:tab w:val="left" w:pos="540"/>
              </w:tabs>
              <w:ind w:right="468"/>
              <w:rPr>
                <w:rFonts w:ascii="Arial" w:hAnsi="Arial" w:cs="Arial"/>
                <w:b/>
                <w:bCs/>
                <w:sz w:val="20"/>
              </w:rPr>
            </w:pPr>
            <w:r w:rsidRPr="00DE1573">
              <w:rPr>
                <w:rFonts w:ascii="Arial" w:hAnsi="Arial" w:cs="Arial"/>
                <w:b/>
                <w:bCs/>
                <w:sz w:val="20"/>
              </w:rPr>
              <w:t xml:space="preserve">Tetrachloroethylene or </w:t>
            </w:r>
            <w:proofErr w:type="spellStart"/>
            <w:r w:rsidRPr="00DE1573">
              <w:rPr>
                <w:rFonts w:ascii="Arial" w:hAnsi="Arial" w:cs="Arial"/>
                <w:b/>
                <w:bCs/>
                <w:sz w:val="20"/>
              </w:rPr>
              <w:t>Perchloroethylene</w:t>
            </w:r>
            <w:proofErr w:type="spellEnd"/>
            <w:r w:rsidRPr="00DE1573">
              <w:rPr>
                <w:rFonts w:ascii="Arial" w:hAnsi="Arial" w:cs="Arial"/>
                <w:b/>
                <w:bCs/>
                <w:sz w:val="20"/>
              </w:rPr>
              <w:t xml:space="preserve"> (PCE)</w:t>
            </w:r>
          </w:p>
          <w:p w14:paraId="238C50E7" w14:textId="77777777" w:rsidR="006F3F49" w:rsidRPr="00DE1573" w:rsidRDefault="006F3F49" w:rsidP="006F3F49">
            <w:pPr>
              <w:tabs>
                <w:tab w:val="left" w:pos="540"/>
              </w:tabs>
              <w:ind w:right="468"/>
              <w:rPr>
                <w:rFonts w:ascii="Arial" w:hAnsi="Arial" w:cs="Arial"/>
                <w:sz w:val="20"/>
                <w:u w:val="single"/>
              </w:rPr>
            </w:pPr>
            <w:r w:rsidRPr="00DE1573">
              <w:rPr>
                <w:rFonts w:ascii="Arial" w:hAnsi="Arial" w:cs="Arial"/>
                <w:sz w:val="20"/>
                <w:u w:val="single"/>
              </w:rPr>
              <w:t>National Toxicology Program</w:t>
            </w:r>
          </w:p>
          <w:p w14:paraId="49712B6E" w14:textId="49939C90" w:rsidR="006F3F49" w:rsidRPr="00DE1573" w:rsidRDefault="00D872BE" w:rsidP="000814FB">
            <w:pPr>
              <w:tabs>
                <w:tab w:val="left" w:pos="540"/>
              </w:tabs>
              <w:ind w:right="468"/>
              <w:rPr>
                <w:rFonts w:ascii="Arial" w:hAnsi="Arial" w:cs="Arial"/>
                <w:sz w:val="20"/>
              </w:rPr>
            </w:pPr>
            <w:hyperlink r:id="rId47" w:history="1">
              <w:r w:rsidR="006F3F49" w:rsidRPr="00DE1573">
                <w:rPr>
                  <w:rStyle w:val="Hyperlink"/>
                  <w:rFonts w:ascii="Arial" w:hAnsi="Arial" w:cs="Arial"/>
                  <w:sz w:val="20"/>
                </w:rPr>
                <w:t>http://ntp.niehs.nih.gov/testing/status/agents/ts-10176-t.html</w:t>
              </w:r>
            </w:hyperlink>
          </w:p>
          <w:p w14:paraId="159C0330" w14:textId="77777777" w:rsidR="006F3F49" w:rsidRPr="00DE1573" w:rsidRDefault="006F3F49" w:rsidP="000814FB">
            <w:pPr>
              <w:tabs>
                <w:tab w:val="left" w:pos="540"/>
              </w:tabs>
              <w:ind w:right="468"/>
              <w:rPr>
                <w:rFonts w:ascii="Arial" w:hAnsi="Arial" w:cs="Arial"/>
                <w:sz w:val="20"/>
              </w:rPr>
            </w:pPr>
          </w:p>
          <w:p w14:paraId="7E2DB917"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ATSDR</w:t>
            </w:r>
          </w:p>
          <w:p w14:paraId="3B22B066" w14:textId="77777777" w:rsidR="000814FB" w:rsidRPr="00DE1573" w:rsidRDefault="00D872BE" w:rsidP="000814FB">
            <w:pPr>
              <w:tabs>
                <w:tab w:val="left" w:pos="540"/>
              </w:tabs>
              <w:ind w:right="468"/>
              <w:rPr>
                <w:rFonts w:ascii="Arial" w:hAnsi="Arial" w:cs="Arial"/>
                <w:sz w:val="20"/>
              </w:rPr>
            </w:pPr>
            <w:hyperlink r:id="rId48" w:history="1">
              <w:r w:rsidR="000814FB" w:rsidRPr="00DE1573">
                <w:rPr>
                  <w:rFonts w:ascii="Arial" w:hAnsi="Arial" w:cs="Arial"/>
                  <w:color w:val="0000FF"/>
                  <w:sz w:val="20"/>
                  <w:u w:val="single"/>
                </w:rPr>
                <w:t>http://www.atsdr.cdc.gov/toxfaqs/tf.asp?id=264&amp;tid=48</w:t>
              </w:r>
            </w:hyperlink>
            <w:r w:rsidR="000814FB" w:rsidRPr="00DE1573">
              <w:rPr>
                <w:rFonts w:ascii="Arial" w:hAnsi="Arial" w:cs="Arial"/>
                <w:sz w:val="20"/>
              </w:rPr>
              <w:t xml:space="preserve"> </w:t>
            </w:r>
          </w:p>
          <w:p w14:paraId="3CD61B70" w14:textId="77777777" w:rsidR="000814FB" w:rsidRPr="00DE1573" w:rsidRDefault="000814FB" w:rsidP="000814FB">
            <w:pPr>
              <w:tabs>
                <w:tab w:val="left" w:pos="540"/>
              </w:tabs>
              <w:ind w:right="468"/>
              <w:rPr>
                <w:rFonts w:ascii="Arial" w:hAnsi="Arial" w:cs="Arial"/>
                <w:sz w:val="20"/>
              </w:rPr>
            </w:pPr>
          </w:p>
          <w:p w14:paraId="7CE75E1E"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EPA</w:t>
            </w:r>
          </w:p>
          <w:p w14:paraId="0BD93944" w14:textId="43AFF9B8" w:rsidR="000814FB" w:rsidRPr="00DE1573" w:rsidRDefault="00D872BE" w:rsidP="000814FB">
            <w:pPr>
              <w:tabs>
                <w:tab w:val="left" w:pos="540"/>
              </w:tabs>
              <w:ind w:right="468"/>
              <w:rPr>
                <w:rFonts w:ascii="Arial" w:hAnsi="Arial" w:cs="Arial"/>
                <w:sz w:val="20"/>
              </w:rPr>
            </w:pPr>
            <w:hyperlink r:id="rId49" w:history="1">
              <w:r w:rsidR="006F3F49" w:rsidRPr="00DE1573">
                <w:rPr>
                  <w:rStyle w:val="Hyperlink"/>
                  <w:rFonts w:ascii="Arial" w:hAnsi="Arial" w:cs="Arial"/>
                  <w:sz w:val="20"/>
                </w:rPr>
                <w:t>http://cfpub.epa.gov/ncea/iris2/chemicalLanding.cfm?substance_nmbr=106</w:t>
              </w:r>
            </w:hyperlink>
          </w:p>
          <w:p w14:paraId="7A703DCA" w14:textId="77777777" w:rsidR="000814FB" w:rsidRPr="00DE1573" w:rsidRDefault="000814FB" w:rsidP="000814FB">
            <w:pPr>
              <w:tabs>
                <w:tab w:val="left" w:pos="540"/>
              </w:tabs>
              <w:ind w:right="468"/>
              <w:rPr>
                <w:rFonts w:ascii="Arial" w:hAnsi="Arial" w:cs="Arial"/>
                <w:sz w:val="20"/>
              </w:rPr>
            </w:pPr>
          </w:p>
          <w:p w14:paraId="3EFF764E" w14:textId="77777777" w:rsidR="000814FB" w:rsidRPr="00DE1573" w:rsidRDefault="000814FB" w:rsidP="000814FB">
            <w:pPr>
              <w:tabs>
                <w:tab w:val="left" w:pos="540"/>
              </w:tabs>
              <w:ind w:right="468"/>
              <w:rPr>
                <w:rFonts w:ascii="Arial" w:hAnsi="Arial" w:cs="Arial"/>
                <w:b/>
                <w:bCs/>
                <w:sz w:val="20"/>
              </w:rPr>
            </w:pPr>
            <w:r w:rsidRPr="00DE1573">
              <w:rPr>
                <w:rFonts w:ascii="Arial" w:hAnsi="Arial" w:cs="Arial"/>
                <w:b/>
                <w:bCs/>
                <w:sz w:val="20"/>
              </w:rPr>
              <w:t>Benzene</w:t>
            </w:r>
          </w:p>
          <w:p w14:paraId="2F45B963" w14:textId="50B2254C" w:rsidR="000814FB" w:rsidRPr="00DE1573" w:rsidRDefault="000814FB" w:rsidP="000814FB">
            <w:pPr>
              <w:tabs>
                <w:tab w:val="left" w:pos="540"/>
              </w:tabs>
              <w:ind w:right="468"/>
              <w:rPr>
                <w:rFonts w:ascii="Arial" w:hAnsi="Arial" w:cs="Arial"/>
                <w:sz w:val="20"/>
              </w:rPr>
            </w:pPr>
            <w:r w:rsidRPr="00DE1573">
              <w:rPr>
                <w:rFonts w:ascii="Arial" w:hAnsi="Arial" w:cs="Arial"/>
                <w:sz w:val="20"/>
              </w:rPr>
              <w:t xml:space="preserve"> </w:t>
            </w:r>
          </w:p>
          <w:p w14:paraId="5841C6A7" w14:textId="77777777" w:rsidR="00741DB4" w:rsidRPr="00DE1573" w:rsidRDefault="00741DB4" w:rsidP="00741DB4">
            <w:pPr>
              <w:tabs>
                <w:tab w:val="left" w:pos="540"/>
              </w:tabs>
              <w:ind w:right="468"/>
              <w:rPr>
                <w:rFonts w:ascii="Arial" w:hAnsi="Arial" w:cs="Arial"/>
                <w:sz w:val="20"/>
                <w:u w:val="single"/>
              </w:rPr>
            </w:pPr>
            <w:r w:rsidRPr="00DE1573">
              <w:rPr>
                <w:rFonts w:ascii="Arial" w:hAnsi="Arial" w:cs="Arial"/>
                <w:sz w:val="20"/>
                <w:u w:val="single"/>
              </w:rPr>
              <w:t>National Toxicology Program</w:t>
            </w:r>
          </w:p>
          <w:p w14:paraId="260C5D67" w14:textId="0AFC0132" w:rsidR="00741DB4" w:rsidRPr="00DE1573" w:rsidRDefault="00741DB4" w:rsidP="000814FB">
            <w:pPr>
              <w:tabs>
                <w:tab w:val="left" w:pos="540"/>
              </w:tabs>
              <w:ind w:right="468"/>
              <w:rPr>
                <w:rFonts w:ascii="Arial" w:hAnsi="Arial" w:cs="Arial"/>
                <w:sz w:val="20"/>
              </w:rPr>
            </w:pPr>
            <w:hyperlink r:id="rId50" w:history="1">
              <w:r w:rsidRPr="00DE1573">
                <w:rPr>
                  <w:rStyle w:val="Hyperlink"/>
                  <w:rFonts w:ascii="Arial" w:hAnsi="Arial" w:cs="Arial"/>
                  <w:sz w:val="20"/>
                </w:rPr>
                <w:t>http://ntp.niehs.nih.gov/testing/status/agents/ts-10389-y.html</w:t>
              </w:r>
            </w:hyperlink>
          </w:p>
          <w:p w14:paraId="4367F470" w14:textId="77777777" w:rsidR="00741DB4" w:rsidRPr="00DE1573" w:rsidRDefault="00741DB4" w:rsidP="000814FB">
            <w:pPr>
              <w:tabs>
                <w:tab w:val="left" w:pos="540"/>
              </w:tabs>
              <w:ind w:right="468"/>
              <w:rPr>
                <w:rFonts w:ascii="Arial" w:hAnsi="Arial" w:cs="Arial"/>
                <w:sz w:val="20"/>
              </w:rPr>
            </w:pPr>
          </w:p>
          <w:p w14:paraId="2CD2982B"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ATSDR</w:t>
            </w:r>
          </w:p>
          <w:p w14:paraId="2624693D" w14:textId="77777777" w:rsidR="000814FB" w:rsidRPr="00DE1573" w:rsidRDefault="00D872BE" w:rsidP="000814FB">
            <w:pPr>
              <w:tabs>
                <w:tab w:val="left" w:pos="540"/>
              </w:tabs>
              <w:ind w:right="468"/>
              <w:rPr>
                <w:rFonts w:ascii="Arial" w:hAnsi="Arial" w:cs="Arial"/>
                <w:sz w:val="20"/>
              </w:rPr>
            </w:pPr>
            <w:hyperlink r:id="rId51" w:history="1">
              <w:r w:rsidR="000814FB" w:rsidRPr="00DE1573">
                <w:rPr>
                  <w:rFonts w:ascii="Arial" w:hAnsi="Arial" w:cs="Arial"/>
                  <w:color w:val="0000FF"/>
                  <w:sz w:val="20"/>
                  <w:u w:val="single"/>
                </w:rPr>
                <w:t>http://www.atsdr.cdc.gov/ToxProfiles/TP.asp?id=40&amp;tid=14</w:t>
              </w:r>
            </w:hyperlink>
            <w:r w:rsidR="000814FB" w:rsidRPr="00DE1573">
              <w:rPr>
                <w:rFonts w:ascii="Arial" w:hAnsi="Arial" w:cs="Arial"/>
                <w:sz w:val="20"/>
              </w:rPr>
              <w:t xml:space="preserve"> </w:t>
            </w:r>
          </w:p>
          <w:p w14:paraId="5DE604CD" w14:textId="77777777" w:rsidR="000814FB" w:rsidRPr="00DE1573" w:rsidRDefault="000814FB" w:rsidP="000814FB">
            <w:pPr>
              <w:tabs>
                <w:tab w:val="left" w:pos="540"/>
              </w:tabs>
              <w:ind w:right="468"/>
              <w:rPr>
                <w:rFonts w:ascii="Arial" w:hAnsi="Arial" w:cs="Arial"/>
                <w:sz w:val="20"/>
              </w:rPr>
            </w:pPr>
          </w:p>
          <w:p w14:paraId="5C531CCA"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EPA</w:t>
            </w:r>
          </w:p>
          <w:p w14:paraId="64481916" w14:textId="3277C05F" w:rsidR="00741DB4" w:rsidRPr="00DE1573" w:rsidRDefault="00D872BE" w:rsidP="000814FB">
            <w:pPr>
              <w:tabs>
                <w:tab w:val="left" w:pos="540"/>
              </w:tabs>
              <w:ind w:right="468"/>
              <w:rPr>
                <w:rFonts w:ascii="Arial" w:hAnsi="Arial" w:cs="Arial"/>
                <w:bCs/>
                <w:sz w:val="20"/>
              </w:rPr>
            </w:pPr>
            <w:hyperlink r:id="rId52" w:history="1">
              <w:r w:rsidR="00741DB4" w:rsidRPr="00DE1573">
                <w:rPr>
                  <w:rStyle w:val="Hyperlink"/>
                  <w:rFonts w:ascii="Arial" w:hAnsi="Arial" w:cs="Arial"/>
                  <w:bCs/>
                  <w:sz w:val="20"/>
                </w:rPr>
                <w:t>http://cfpub.epa.gov/ncea/iris2/chemicalLanding.cfm?substance_nmbr=276</w:t>
              </w:r>
            </w:hyperlink>
          </w:p>
          <w:p w14:paraId="3CF75A27" w14:textId="77777777" w:rsidR="00741DB4" w:rsidRPr="00DE1573" w:rsidRDefault="00741DB4" w:rsidP="000814FB">
            <w:pPr>
              <w:tabs>
                <w:tab w:val="left" w:pos="540"/>
              </w:tabs>
              <w:ind w:right="468"/>
              <w:rPr>
                <w:rFonts w:ascii="Arial" w:hAnsi="Arial" w:cs="Arial"/>
                <w:bCs/>
                <w:sz w:val="20"/>
              </w:rPr>
            </w:pPr>
          </w:p>
          <w:p w14:paraId="1E25E895" w14:textId="77777777" w:rsidR="000814FB" w:rsidRPr="00DE1573" w:rsidRDefault="000814FB" w:rsidP="000814FB">
            <w:pPr>
              <w:tabs>
                <w:tab w:val="left" w:pos="540"/>
              </w:tabs>
              <w:ind w:right="468"/>
              <w:rPr>
                <w:rFonts w:ascii="Arial" w:hAnsi="Arial" w:cs="Arial"/>
                <w:b/>
                <w:bCs/>
                <w:sz w:val="20"/>
              </w:rPr>
            </w:pPr>
            <w:r w:rsidRPr="00DE1573">
              <w:rPr>
                <w:rFonts w:ascii="Arial" w:hAnsi="Arial" w:cs="Arial"/>
                <w:b/>
                <w:bCs/>
                <w:sz w:val="20"/>
              </w:rPr>
              <w:t>Vinyl Chloride</w:t>
            </w:r>
          </w:p>
          <w:p w14:paraId="4C05A222" w14:textId="77777777" w:rsidR="00741DB4" w:rsidRPr="00DE1573" w:rsidRDefault="00741DB4" w:rsidP="00741DB4">
            <w:pPr>
              <w:tabs>
                <w:tab w:val="left" w:pos="540"/>
              </w:tabs>
              <w:ind w:right="468"/>
              <w:rPr>
                <w:rFonts w:ascii="Arial" w:hAnsi="Arial" w:cs="Arial"/>
                <w:sz w:val="20"/>
                <w:u w:val="single"/>
              </w:rPr>
            </w:pPr>
            <w:r w:rsidRPr="00DE1573">
              <w:rPr>
                <w:rFonts w:ascii="Arial" w:hAnsi="Arial" w:cs="Arial"/>
                <w:sz w:val="20"/>
                <w:u w:val="single"/>
              </w:rPr>
              <w:t>National Toxicology Program</w:t>
            </w:r>
          </w:p>
          <w:p w14:paraId="468C0DAB" w14:textId="2445343B" w:rsidR="00741DB4" w:rsidRPr="00DE1573" w:rsidRDefault="00D872BE" w:rsidP="000814FB">
            <w:pPr>
              <w:tabs>
                <w:tab w:val="left" w:pos="540"/>
              </w:tabs>
              <w:ind w:right="468"/>
              <w:rPr>
                <w:rFonts w:ascii="Arial" w:hAnsi="Arial" w:cs="Arial"/>
                <w:sz w:val="20"/>
              </w:rPr>
            </w:pPr>
            <w:hyperlink r:id="rId53" w:history="1">
              <w:r w:rsidR="00741DB4" w:rsidRPr="00DE1573">
                <w:rPr>
                  <w:rStyle w:val="Hyperlink"/>
                  <w:rFonts w:ascii="Arial" w:hAnsi="Arial" w:cs="Arial"/>
                  <w:sz w:val="20"/>
                </w:rPr>
                <w:t>http://ntp.niehs.nih.gov/testing/status/agents/ts-10961-h.html</w:t>
              </w:r>
            </w:hyperlink>
          </w:p>
          <w:p w14:paraId="05F52FD1" w14:textId="77777777" w:rsidR="00741DB4" w:rsidRPr="00DE1573" w:rsidRDefault="00741DB4" w:rsidP="000814FB">
            <w:pPr>
              <w:tabs>
                <w:tab w:val="left" w:pos="540"/>
              </w:tabs>
              <w:ind w:right="468"/>
              <w:rPr>
                <w:rFonts w:ascii="Arial" w:hAnsi="Arial" w:cs="Arial"/>
                <w:sz w:val="20"/>
              </w:rPr>
            </w:pPr>
          </w:p>
          <w:p w14:paraId="42A8CB11" w14:textId="77777777" w:rsidR="000814FB" w:rsidRPr="00DE1573" w:rsidRDefault="000814FB" w:rsidP="000814FB">
            <w:pPr>
              <w:tabs>
                <w:tab w:val="left" w:pos="540"/>
              </w:tabs>
              <w:ind w:right="468"/>
              <w:rPr>
                <w:rFonts w:ascii="Arial" w:hAnsi="Arial" w:cs="Arial"/>
                <w:i/>
                <w:iCs/>
                <w:sz w:val="20"/>
              </w:rPr>
            </w:pPr>
            <w:r w:rsidRPr="00DE1573">
              <w:rPr>
                <w:rFonts w:ascii="Arial" w:hAnsi="Arial" w:cs="Arial"/>
                <w:i/>
                <w:iCs/>
                <w:sz w:val="20"/>
              </w:rPr>
              <w:t>ATSDR</w:t>
            </w:r>
          </w:p>
          <w:p w14:paraId="60832863" w14:textId="77777777" w:rsidR="000814FB" w:rsidRPr="00DE1573" w:rsidRDefault="00D872BE" w:rsidP="000814FB">
            <w:pPr>
              <w:tabs>
                <w:tab w:val="left" w:pos="540"/>
              </w:tabs>
              <w:ind w:right="468"/>
              <w:rPr>
                <w:rFonts w:ascii="Arial" w:hAnsi="Arial" w:cs="Arial"/>
                <w:sz w:val="20"/>
              </w:rPr>
            </w:pPr>
            <w:hyperlink r:id="rId54" w:history="1">
              <w:r w:rsidR="000814FB" w:rsidRPr="00DE1573">
                <w:rPr>
                  <w:rFonts w:ascii="Arial" w:hAnsi="Arial" w:cs="Arial"/>
                  <w:color w:val="0000FF"/>
                  <w:sz w:val="20"/>
                  <w:u w:val="single"/>
                </w:rPr>
                <w:t>http://www.atsdr.cdc.gov/ToxProfiles/tp.asp?id=282&amp;tid=51</w:t>
              </w:r>
            </w:hyperlink>
            <w:r w:rsidR="000814FB" w:rsidRPr="00DE1573">
              <w:rPr>
                <w:rFonts w:ascii="Arial" w:hAnsi="Arial" w:cs="Arial"/>
                <w:sz w:val="20"/>
              </w:rPr>
              <w:t xml:space="preserve"> </w:t>
            </w:r>
          </w:p>
          <w:p w14:paraId="22B141C5" w14:textId="77777777" w:rsidR="000814FB" w:rsidRPr="00DE1573" w:rsidRDefault="000814FB" w:rsidP="000814FB">
            <w:pPr>
              <w:tabs>
                <w:tab w:val="left" w:pos="540"/>
              </w:tabs>
              <w:ind w:right="468"/>
              <w:rPr>
                <w:rFonts w:ascii="Arial" w:hAnsi="Arial" w:cs="Arial"/>
                <w:sz w:val="20"/>
              </w:rPr>
            </w:pPr>
          </w:p>
          <w:p w14:paraId="0534FA50" w14:textId="77777777" w:rsidR="000814FB" w:rsidRPr="00DE1573" w:rsidRDefault="000814FB" w:rsidP="000814FB">
            <w:pPr>
              <w:tabs>
                <w:tab w:val="left" w:pos="540"/>
              </w:tabs>
              <w:ind w:right="468"/>
              <w:rPr>
                <w:rFonts w:ascii="Arial" w:hAnsi="Arial" w:cs="Arial"/>
                <w:i/>
                <w:iCs/>
                <w:sz w:val="20"/>
                <w:u w:val="single"/>
              </w:rPr>
            </w:pPr>
            <w:r w:rsidRPr="00DE1573">
              <w:rPr>
                <w:rFonts w:ascii="Arial" w:hAnsi="Arial" w:cs="Arial"/>
                <w:i/>
                <w:iCs/>
                <w:sz w:val="20"/>
                <w:u w:val="single"/>
              </w:rPr>
              <w:t>EPA</w:t>
            </w:r>
          </w:p>
          <w:p w14:paraId="54ABED97" w14:textId="7E270A4D" w:rsidR="000814FB" w:rsidRPr="00DE1573" w:rsidRDefault="00D872BE" w:rsidP="000814FB">
            <w:pPr>
              <w:tabs>
                <w:tab w:val="left" w:pos="540"/>
              </w:tabs>
              <w:ind w:right="468"/>
              <w:rPr>
                <w:rFonts w:ascii="Arial" w:hAnsi="Arial" w:cs="Arial"/>
                <w:bCs/>
                <w:sz w:val="20"/>
              </w:rPr>
            </w:pPr>
            <w:hyperlink r:id="rId55" w:history="1">
              <w:r w:rsidR="00741DB4" w:rsidRPr="00DE1573">
                <w:rPr>
                  <w:rStyle w:val="Hyperlink"/>
                  <w:rFonts w:ascii="Arial" w:hAnsi="Arial" w:cs="Arial"/>
                  <w:bCs/>
                  <w:sz w:val="20"/>
                </w:rPr>
                <w:t>http://cfpub.epa.gov/ncea/iris2/chemicalLanding.cfm?substance_nmbr=1001</w:t>
              </w:r>
            </w:hyperlink>
          </w:p>
          <w:p w14:paraId="1148F626" w14:textId="3B54EFAA" w:rsidR="000814FB" w:rsidRPr="00DE1573" w:rsidRDefault="000814FB" w:rsidP="000814FB">
            <w:pPr>
              <w:tabs>
                <w:tab w:val="left" w:pos="540"/>
              </w:tabs>
              <w:ind w:right="468"/>
              <w:rPr>
                <w:rFonts w:ascii="Arial" w:hAnsi="Arial" w:cs="Arial"/>
                <w:sz w:val="20"/>
              </w:rPr>
            </w:pPr>
          </w:p>
        </w:tc>
      </w:tr>
    </w:tbl>
    <w:p w14:paraId="042D416C" w14:textId="4512A19F" w:rsidR="000814FB" w:rsidRPr="00DE1573" w:rsidRDefault="0088121C" w:rsidP="0088121C">
      <w:pPr>
        <w:tabs>
          <w:tab w:val="left" w:pos="9360"/>
        </w:tabs>
        <w:ind w:left="1714"/>
      </w:pPr>
      <w:r w:rsidRPr="00DE1573">
        <w:rPr>
          <w:u w:val="single"/>
        </w:rPr>
        <w:lastRenderedPageBreak/>
        <w:tab/>
      </w:r>
    </w:p>
    <w:p w14:paraId="76CF2F18" w14:textId="054E9FDD" w:rsidR="0088121C" w:rsidRPr="00DE1573" w:rsidRDefault="0088121C" w:rsidP="0088121C">
      <w:pPr>
        <w:ind w:left="1714"/>
      </w:pPr>
    </w:p>
    <w:p w14:paraId="3457833B" w14:textId="77777777" w:rsidR="0088121C" w:rsidRPr="00DE1573" w:rsidRDefault="0088121C" w:rsidP="0088121C"/>
    <w:p w14:paraId="7ABF9A7D" w14:textId="77777777" w:rsidR="000814FB" w:rsidRPr="00DE1573" w:rsidRDefault="000814FB">
      <w:r w:rsidRPr="00DE1573">
        <w:br w:type="page"/>
      </w:r>
    </w:p>
    <w:p w14:paraId="588C0154" w14:textId="25F0D27F" w:rsidR="000814FB" w:rsidRPr="00DE1573" w:rsidRDefault="004E2FC4" w:rsidP="000814FB">
      <w:pPr>
        <w:rPr>
          <w:rFonts w:ascii="Arial" w:hAnsi="Arial" w:cs="Arial"/>
          <w:b/>
          <w:sz w:val="32"/>
          <w:szCs w:val="32"/>
        </w:rPr>
      </w:pPr>
      <w:r w:rsidRPr="00DE1573">
        <w:rPr>
          <w:rFonts w:ascii="Arial" w:hAnsi="Arial" w:cs="Arial"/>
          <w:b/>
          <w:sz w:val="32"/>
          <w:szCs w:val="32"/>
        </w:rPr>
        <w:lastRenderedPageBreak/>
        <w:t>1</w:t>
      </w:r>
      <w:r w:rsidR="00327641" w:rsidRPr="00DE1573">
        <w:rPr>
          <w:rFonts w:ascii="Arial" w:hAnsi="Arial" w:cs="Arial"/>
          <w:b/>
          <w:sz w:val="32"/>
          <w:szCs w:val="32"/>
        </w:rPr>
        <w:t>7</w:t>
      </w:r>
      <w:r w:rsidR="000814FB" w:rsidRPr="00DE1573">
        <w:rPr>
          <w:rFonts w:ascii="Arial" w:hAnsi="Arial" w:cs="Arial"/>
          <w:b/>
          <w:sz w:val="32"/>
          <w:szCs w:val="32"/>
        </w:rPr>
        <w:t>.  Exhibit 9:  Notice to Examiners Evaluating Claims Based on Service at Camp Lejeune</w:t>
      </w:r>
    </w:p>
    <w:p w14:paraId="0E1BDE4B" w14:textId="67277DE6" w:rsidR="000814FB" w:rsidRPr="00DE1573" w:rsidRDefault="000814FB" w:rsidP="000814FB">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AD5409" w:rsidRPr="00DE1573" w14:paraId="159703C2" w14:textId="77777777" w:rsidTr="00AD5409">
        <w:tc>
          <w:tcPr>
            <w:tcW w:w="1728" w:type="dxa"/>
            <w:shd w:val="clear" w:color="auto" w:fill="auto"/>
          </w:tcPr>
          <w:p w14:paraId="07DB4363" w14:textId="66A5FC5F" w:rsidR="00AD5409" w:rsidRPr="00DE1573" w:rsidRDefault="00AD5409" w:rsidP="00AD5409">
            <w:pPr>
              <w:rPr>
                <w:b/>
                <w:sz w:val="22"/>
              </w:rPr>
            </w:pPr>
            <w:r w:rsidRPr="00DE1573">
              <w:rPr>
                <w:b/>
                <w:sz w:val="22"/>
              </w:rPr>
              <w:t xml:space="preserve">Change Date </w:t>
            </w:r>
          </w:p>
        </w:tc>
        <w:tc>
          <w:tcPr>
            <w:tcW w:w="7740" w:type="dxa"/>
            <w:shd w:val="clear" w:color="auto" w:fill="auto"/>
          </w:tcPr>
          <w:p w14:paraId="01B4F13B" w14:textId="08CFADF8" w:rsidR="00AD5409" w:rsidRPr="00DE1573" w:rsidRDefault="00AD5409" w:rsidP="00AD5409">
            <w:r w:rsidRPr="00DE1573">
              <w:t>August 7, 2015</w:t>
            </w:r>
          </w:p>
        </w:tc>
      </w:tr>
    </w:tbl>
    <w:p w14:paraId="0F84B463" w14:textId="77777777" w:rsidR="000814FB" w:rsidRPr="00DE1573" w:rsidRDefault="000814FB" w:rsidP="000814FB">
      <w:pPr>
        <w:pStyle w:val="BlockLine"/>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0814FB" w:rsidRPr="00DE1573" w14:paraId="1AEDC392" w14:textId="77777777" w:rsidTr="007F12FF">
        <w:tc>
          <w:tcPr>
            <w:tcW w:w="1728" w:type="dxa"/>
            <w:shd w:val="clear" w:color="auto" w:fill="auto"/>
          </w:tcPr>
          <w:p w14:paraId="7108F71B" w14:textId="2D14D8CD" w:rsidR="000814FB" w:rsidRPr="00DE1573" w:rsidRDefault="00AD5409" w:rsidP="00AD5409">
            <w:pPr>
              <w:rPr>
                <w:b/>
              </w:rPr>
            </w:pPr>
            <w:r w:rsidRPr="00DE1573">
              <w:rPr>
                <w:b/>
              </w:rPr>
              <w:t xml:space="preserve">a.  Notice to Examiners Evaluating Claims Based on Service at Camp Lejeune </w:t>
            </w:r>
          </w:p>
        </w:tc>
        <w:tc>
          <w:tcPr>
            <w:tcW w:w="7740" w:type="dxa"/>
            <w:shd w:val="clear" w:color="auto" w:fill="auto"/>
          </w:tcPr>
          <w:p w14:paraId="7FFCA909" w14:textId="77777777" w:rsidR="000814FB" w:rsidRPr="00DE1573" w:rsidRDefault="000814FB" w:rsidP="007F12FF">
            <w:r w:rsidRPr="00DE1573">
              <w:rPr>
                <w:i/>
              </w:rPr>
              <w:t>Notice to Examiners Evaluating Claims Based on Service at Camp Lejeune</w:t>
            </w:r>
            <w:r w:rsidRPr="00DE1573">
              <w:t xml:space="preserve"> is shown below.</w:t>
            </w:r>
          </w:p>
        </w:tc>
      </w:tr>
    </w:tbl>
    <w:p w14:paraId="2E7470E9" w14:textId="77777777" w:rsidR="000814FB" w:rsidRPr="00DE1573" w:rsidRDefault="000814FB" w:rsidP="000814FB">
      <w:pPr>
        <w:rPr>
          <w:rFonts w:ascii="Arial" w:hAnsi="Arial" w:cs="Arial"/>
          <w:sz w:val="32"/>
          <w:szCs w:val="32"/>
        </w:rPr>
      </w:pPr>
    </w:p>
    <w:tbl>
      <w:tblPr>
        <w:tblStyle w:val="TableGrid"/>
        <w:tblW w:w="0" w:type="auto"/>
        <w:tblLook w:val="04A0" w:firstRow="1" w:lastRow="0" w:firstColumn="1" w:lastColumn="0" w:noHBand="0" w:noVBand="1"/>
      </w:tblPr>
      <w:tblGrid>
        <w:gridCol w:w="9576"/>
      </w:tblGrid>
      <w:tr w:rsidR="000814FB" w:rsidRPr="00DE1573" w14:paraId="5D2576AC" w14:textId="77777777" w:rsidTr="007F12FF">
        <w:tc>
          <w:tcPr>
            <w:tcW w:w="9576" w:type="dxa"/>
          </w:tcPr>
          <w:p w14:paraId="441C6F50" w14:textId="77777777" w:rsidR="000814FB" w:rsidRPr="00DE1573" w:rsidRDefault="000814FB" w:rsidP="007F12FF">
            <w:pPr>
              <w:rPr>
                <w:b/>
                <w:bCs/>
              </w:rPr>
            </w:pPr>
            <w:r w:rsidRPr="00DE1573">
              <w:rPr>
                <w:b/>
                <w:bCs/>
              </w:rPr>
              <w:t>Appendix D</w:t>
            </w:r>
          </w:p>
          <w:p w14:paraId="11E733A5" w14:textId="77777777" w:rsidR="000814FB" w:rsidRPr="00DE1573" w:rsidRDefault="000814FB" w:rsidP="007F12FF">
            <w:pPr>
              <w:rPr>
                <w:b/>
                <w:bCs/>
                <w:u w:val="single"/>
              </w:rPr>
            </w:pPr>
          </w:p>
          <w:p w14:paraId="6DB503C6" w14:textId="77777777" w:rsidR="000814FB" w:rsidRPr="00DE1573" w:rsidRDefault="000814FB" w:rsidP="007F12FF">
            <w:pPr>
              <w:pStyle w:val="Heading2"/>
            </w:pPr>
            <w:r w:rsidRPr="00DE1573">
              <w:t xml:space="preserve">Notice to Examiners Evaluating Claims Based on Service at Camp Lejeune </w:t>
            </w:r>
          </w:p>
          <w:p w14:paraId="545EC408" w14:textId="77777777" w:rsidR="000814FB" w:rsidRPr="00DE1573" w:rsidRDefault="000814FB" w:rsidP="007F12FF">
            <w:pPr>
              <w:jc w:val="center"/>
            </w:pPr>
          </w:p>
          <w:p w14:paraId="52933F8C" w14:textId="77777777" w:rsidR="000814FB" w:rsidRPr="00DE1573" w:rsidRDefault="000814FB" w:rsidP="007F12FF">
            <w:pPr>
              <w:pStyle w:val="NormalWeb"/>
              <w:spacing w:before="0" w:after="0"/>
            </w:pPr>
            <w:r w:rsidRPr="00DE1573">
              <w:t>Examiner,</w:t>
            </w:r>
          </w:p>
          <w:p w14:paraId="75F9B320" w14:textId="77777777" w:rsidR="000814FB" w:rsidRPr="00DE1573" w:rsidRDefault="000814FB" w:rsidP="007F12FF"/>
          <w:p w14:paraId="0759C798" w14:textId="65FC2326" w:rsidR="000814FB" w:rsidRPr="00DE1573" w:rsidRDefault="000814FB" w:rsidP="007F12FF">
            <w:pPr>
              <w:rPr>
                <w:bCs/>
              </w:rPr>
            </w:pPr>
            <w:r w:rsidRPr="00DE1573">
              <w:t xml:space="preserve">The water supply at </w:t>
            </w:r>
            <w:r w:rsidRPr="00DE1573">
              <w:rPr>
                <w:bCs/>
              </w:rPr>
              <w:t>Camp Lejeune, North Carolin</w:t>
            </w:r>
            <w:r w:rsidR="00B867FD" w:rsidRPr="00DE1573">
              <w:rPr>
                <w:bCs/>
              </w:rPr>
              <w:t>a, was contaminated between 1953</w:t>
            </w:r>
            <w:r w:rsidRPr="00DE1573">
              <w:rPr>
                <w:bCs/>
              </w:rPr>
              <w:t xml:space="preserve"> and 1987 with a number of chemical compounds that have been associated by scientific organizations with the potential for developing certain diseases.  These include a limited/suggestive association for </w:t>
            </w:r>
            <w:r w:rsidRPr="00DE1573">
              <w:t xml:space="preserve">trichloroethylene (TCE) and tetrachloroethylene, also known as </w:t>
            </w:r>
            <w:proofErr w:type="spellStart"/>
            <w:r w:rsidRPr="00DE1573">
              <w:t>perchloroethylene</w:t>
            </w:r>
            <w:proofErr w:type="spellEnd"/>
            <w:r w:rsidRPr="00DE1573">
              <w:t xml:space="preserve"> (PCE), as well as benzene, and vinyl chloride.  </w:t>
            </w:r>
            <w:r w:rsidRPr="00DE1573">
              <w:rPr>
                <w:bCs/>
              </w:rPr>
              <w:t xml:space="preserve">The Veteran you are examining has verified service at Camp Lejeune during that period and is claiming service connection for (specify disease or diseases claimed).  Please evaluate the available evidence, determine whether it is at least as likely as not that the claimed disease is related to the Veteran’s exposure to contaminated water while serving at Camp Lejeune, and provide a medical rationale for that determination. </w:t>
            </w:r>
          </w:p>
          <w:p w14:paraId="1A4AB42A" w14:textId="77777777" w:rsidR="000814FB" w:rsidRPr="00DE1573" w:rsidRDefault="000814FB" w:rsidP="007F12FF">
            <w:pPr>
              <w:rPr>
                <w:lang w:val="en"/>
              </w:rPr>
            </w:pPr>
          </w:p>
          <w:p w14:paraId="3EEE6D99" w14:textId="112CEDE0" w:rsidR="000814FB" w:rsidRPr="00DE1573" w:rsidRDefault="000814FB" w:rsidP="007F12FF">
            <w:r w:rsidRPr="00DE1573">
              <w:rPr>
                <w:lang w:val="en"/>
              </w:rPr>
              <w:t xml:space="preserve">For assistance, we are providing </w:t>
            </w:r>
            <w:r w:rsidRPr="00DE1573">
              <w:t>a document that</w:t>
            </w:r>
            <w:r w:rsidRPr="00DE1573">
              <w:rPr>
                <w:bCs/>
              </w:rPr>
              <w:t xml:space="preserve"> </w:t>
            </w:r>
            <w:r w:rsidRPr="00DE1573">
              <w:t xml:space="preserve">identifies diseases which have a limited/suggestive association with exposure to the known contaminants in the </w:t>
            </w:r>
            <w:r w:rsidRPr="00DE1573">
              <w:rPr>
                <w:bCs/>
              </w:rPr>
              <w:t>Camp Lejeune</w:t>
            </w:r>
            <w:r w:rsidR="00B867FD" w:rsidRPr="00DE1573">
              <w:t xml:space="preserve"> water supply between 1953</w:t>
            </w:r>
            <w:r w:rsidRPr="00DE1573">
              <w:t xml:space="preserve"> and 1987.  We are also providing a list of Internet websites from scientific organizations, which analyze the potential long-term health effects of exposure to the contaminants.  The web addresses can be copied and pasted into a search engine such as Google in order to access them.</w:t>
            </w:r>
          </w:p>
          <w:p w14:paraId="5BEF6537" w14:textId="77777777" w:rsidR="000814FB" w:rsidRPr="00DE1573" w:rsidRDefault="000814FB" w:rsidP="007F12FF">
            <w:pPr>
              <w:rPr>
                <w:bCs/>
              </w:rPr>
            </w:pPr>
          </w:p>
          <w:p w14:paraId="0A0AD8A2" w14:textId="77777777" w:rsidR="000814FB" w:rsidRPr="00DE1573" w:rsidRDefault="000814FB" w:rsidP="007F12FF">
            <w:pPr>
              <w:rPr>
                <w:lang w:val="en"/>
              </w:rPr>
            </w:pPr>
            <w:r w:rsidRPr="00DE1573">
              <w:rPr>
                <w:bCs/>
              </w:rPr>
              <w:t xml:space="preserve">Please conduct any required tests and consider any evidence in the file, or obtained by you, which identifies the duration or extent of contaminated water exposure experienced by the Veteran.  Information on how long the Veteran served at Camp Lejeune, and whether the Veteran lived off base, should be considered.  </w:t>
            </w:r>
            <w:r w:rsidRPr="00DE1573">
              <w:rPr>
                <w:lang w:val="en"/>
              </w:rPr>
              <w:t xml:space="preserve">Unfortunately, there are many unanswered questions regarding potential exposure to contaminants at </w:t>
            </w:r>
            <w:r w:rsidRPr="00DE1573">
              <w:rPr>
                <w:bCs/>
                <w:lang w:val="en"/>
              </w:rPr>
              <w:t xml:space="preserve">Camp Lejeune.  They include: </w:t>
            </w:r>
            <w:r w:rsidRPr="00DE1573">
              <w:rPr>
                <w:lang w:val="en"/>
              </w:rPr>
              <w:t xml:space="preserve">the levels of water contamination at various base locations, the amount and duration of exposure experienced by any given Veteran who served there, and the scientific probability that a Veteran’s particular claimed disease resulted from service at Camp Lejeune and not from some </w:t>
            </w:r>
            <w:r w:rsidRPr="00DE1573">
              <w:rPr>
                <w:lang w:val="en"/>
              </w:rPr>
              <w:lastRenderedPageBreak/>
              <w:t xml:space="preserve">other source. </w:t>
            </w:r>
          </w:p>
        </w:tc>
      </w:tr>
    </w:tbl>
    <w:p w14:paraId="5A1D7AF9" w14:textId="41752184" w:rsidR="00E475B3" w:rsidRPr="00DE1573" w:rsidRDefault="0088121C" w:rsidP="0088121C">
      <w:pPr>
        <w:tabs>
          <w:tab w:val="left" w:pos="9360"/>
        </w:tabs>
        <w:ind w:left="1714"/>
      </w:pPr>
      <w:r w:rsidRPr="00DE1573">
        <w:rPr>
          <w:u w:val="single"/>
        </w:rPr>
        <w:lastRenderedPageBreak/>
        <w:tab/>
      </w:r>
    </w:p>
    <w:p w14:paraId="4593ACE1" w14:textId="4D5C0B1B" w:rsidR="0088121C" w:rsidRPr="00DE1573" w:rsidRDefault="0088121C" w:rsidP="0088121C">
      <w:pPr>
        <w:ind w:left="1714"/>
      </w:pPr>
    </w:p>
    <w:p w14:paraId="5DB298AA" w14:textId="4EEE9953" w:rsidR="00BA32AC" w:rsidRPr="00F35F0E" w:rsidRDefault="00ED0E77" w:rsidP="00BE7216">
      <w:r w:rsidRPr="00DE1573">
        <w:fldChar w:fldCharType="begin">
          <w:fldData xml:space="preserve">RABvAGMAVABlAG0AcAAxAFYAYQByAFQAcgBhAGQAaQB0AGkAbwBuAGEAbAA=
</w:fldData>
        </w:fldChar>
      </w:r>
      <w:r w:rsidRPr="00DE1573">
        <w:instrText xml:space="preserve"> ADDIN  \* MERGEFORMAT </w:instrText>
      </w:r>
      <w:r w:rsidRPr="00DE1573">
        <w:fldChar w:fldCharType="end"/>
      </w:r>
      <w:r w:rsidRPr="00DE1573">
        <w:fldChar w:fldCharType="begin">
          <w:fldData xml:space="preserve">RgBvAG4AdABTAGUAdABGAG8AbgB0AFMAZQB0AEYAbwBuAHQAUwBlAHQARgBvAG4AdABTAGUAdABG
AG8AbgB0AFMAZQB0AEYAbwBuAHQAUwBlAHQARgBvAG4AdABTAGUAdABGAG8AbgB0AFMAZQB0AGkA
bQBpAHMAdAB5AGwAZQBzAC4AeABtAGwA
</w:fldData>
        </w:fldChar>
      </w:r>
      <w:r w:rsidRPr="00DE1573">
        <w:instrText xml:space="preserve"> ADDIN  \* MERGEFORMAT </w:instrText>
      </w:r>
      <w:r w:rsidRPr="00DE1573">
        <w:fldChar w:fldCharType="end"/>
      </w:r>
    </w:p>
    <w:sectPr w:rsidR="00BA32AC" w:rsidRPr="00F35F0E" w:rsidSect="00E17759">
      <w:headerReference w:type="even" r:id="rId56"/>
      <w:headerReference w:type="default" r:id="rId57"/>
      <w:footerReference w:type="even" r:id="rId58"/>
      <w:footerReference w:type="default" r:id="rId59"/>
      <w:headerReference w:type="first" r:id="rId60"/>
      <w:footerReference w:type="first" r:id="rId61"/>
      <w:pgSz w:w="12240" w:h="15840"/>
      <w:pgMar w:top="1008" w:right="1440" w:bottom="1008" w:left="1440" w:header="720" w:footer="720" w:gutter="0"/>
      <w:pgNumType w:start="1"/>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F7082" w14:textId="77777777" w:rsidR="00D872BE" w:rsidRDefault="00D872BE">
      <w:r>
        <w:separator/>
      </w:r>
    </w:p>
  </w:endnote>
  <w:endnote w:type="continuationSeparator" w:id="0">
    <w:p w14:paraId="319F7083" w14:textId="77777777" w:rsidR="00D872BE" w:rsidRDefault="00D8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F7086" w14:textId="03A9D030" w:rsidR="00D872BE" w:rsidRDefault="00D872BE">
    <w:pPr>
      <w:pStyle w:val="Footer"/>
      <w:tabs>
        <w:tab w:val="left" w:pos="0"/>
        <w:tab w:val="right" w:pos="9274"/>
      </w:tabs>
      <w:ind w:right="360"/>
      <w:rPr>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F7087" w14:textId="35C6DFC0" w:rsidR="00D872BE" w:rsidRDefault="00D872BE">
    <w:pPr>
      <w:pStyle w:val="Footer"/>
      <w:tabs>
        <w:tab w:val="left" w:pos="0"/>
        <w:tab w:val="right" w:pos="9274"/>
      </w:tabs>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F7089" w14:textId="77777777" w:rsidR="00D872BE" w:rsidRDefault="00D872BE">
    <w:pPr>
      <w:pStyle w:val="Footer"/>
      <w:tabs>
        <w:tab w:val="left" w:pos="0"/>
        <w:tab w:val="right" w:pos="9274"/>
      </w:tabs>
      <w:rPr>
        <w:b/>
        <w:sz w:val="20"/>
      </w:rPr>
    </w:pPr>
    <w:proofErr w:type="spellStart"/>
    <w:r>
      <w:rPr>
        <w:b/>
        <w:sz w:val="20"/>
      </w:rPr>
      <w:t>Unproofed</w:t>
    </w:r>
    <w:proofErr w:type="spellEnd"/>
    <w:r>
      <w:rPr>
        <w:b/>
        <w:sz w:val="20"/>
      </w:rPr>
      <w:t xml:space="preserve"> CV Draft</w:t>
    </w:r>
    <w:r>
      <w:rPr>
        <w:b/>
        <w:sz w:val="20"/>
      </w:rPr>
      <w:tab/>
    </w:r>
    <w:r>
      <w:rPr>
        <w:b/>
        <w:sz w:val="20"/>
      </w:rPr>
      <w:tab/>
      <w:t>3-H-</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1</w:t>
    </w:r>
    <w:r>
      <w:rPr>
        <w:rStyle w:val="PageNumbe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F7080" w14:textId="77777777" w:rsidR="00D872BE" w:rsidRDefault="00D872BE">
      <w:r>
        <w:separator/>
      </w:r>
    </w:p>
  </w:footnote>
  <w:footnote w:type="continuationSeparator" w:id="0">
    <w:p w14:paraId="319F7081" w14:textId="77777777" w:rsidR="00D872BE" w:rsidRDefault="00D87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F7084" w14:textId="30E9F683" w:rsidR="00D872BE" w:rsidRDefault="00D872BE" w:rsidP="009165F6">
    <w:pPr>
      <w:pStyle w:val="Header"/>
      <w:tabs>
        <w:tab w:val="left" w:pos="0"/>
      </w:tabs>
      <w:jc w:val="right"/>
      <w:rPr>
        <w:b/>
        <w:sz w:val="20"/>
      </w:rPr>
    </w:pPr>
    <w:r>
      <w:rPr>
        <w:b/>
        <w:sz w:val="20"/>
      </w:rPr>
      <w:t>M21-1, Part IV, Subpart ii, Chapter 1, Section I</w:t>
    </w:r>
    <w:r>
      <w:rPr>
        <w:b/>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F7085" w14:textId="6004E6EC" w:rsidR="00D872BE" w:rsidRDefault="00D872BE">
    <w:pPr>
      <w:pStyle w:val="Header"/>
      <w:tabs>
        <w:tab w:val="left" w:pos="0"/>
      </w:tabs>
      <w:rPr>
        <w:b/>
        <w:sz w:val="20"/>
      </w:rPr>
    </w:pPr>
    <w:r>
      <w:rPr>
        <w:b/>
        <w:sz w:val="20"/>
      </w:rPr>
      <w:tab/>
    </w:r>
    <w:r>
      <w:rPr>
        <w:b/>
        <w:sz w:val="20"/>
      </w:rPr>
      <w:tab/>
      <w:t>M21-1, Part IV, Subpart ii, Chapter 1, Section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F7088" w14:textId="0C6D0FAB" w:rsidR="00D872BE" w:rsidRDefault="00D872BE">
    <w:pPr>
      <w:pStyle w:val="Header"/>
      <w:tabs>
        <w:tab w:val="left" w:pos="0"/>
      </w:tabs>
      <w:rPr>
        <w:b/>
        <w:sz w:val="20"/>
      </w:rPr>
    </w:pPr>
    <w:r w:rsidRPr="00F35F0E">
      <w:rPr>
        <w:b/>
        <w:sz w:val="20"/>
      </w:rPr>
      <w:t>??/??/02</w:t>
    </w:r>
    <w:r w:rsidRPr="00F35F0E">
      <w:rPr>
        <w:b/>
        <w:sz w:val="20"/>
      </w:rPr>
      <w:tab/>
      <w:t>M21-1, Part 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DAFD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9752D"/>
    <w:multiLevelType w:val="hybridMultilevel"/>
    <w:tmpl w:val="0C0C943C"/>
    <w:lvl w:ilvl="0" w:tplc="E6D060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D6143"/>
    <w:multiLevelType w:val="hybridMultilevel"/>
    <w:tmpl w:val="1B308040"/>
    <w:lvl w:ilvl="0" w:tplc="F7401D5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A74F1"/>
    <w:multiLevelType w:val="hybridMultilevel"/>
    <w:tmpl w:val="45648E40"/>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24F56"/>
    <w:multiLevelType w:val="hybridMultilevel"/>
    <w:tmpl w:val="B94C4276"/>
    <w:lvl w:ilvl="0" w:tplc="C32AB10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B232E"/>
    <w:multiLevelType w:val="hybridMultilevel"/>
    <w:tmpl w:val="CBA2BADE"/>
    <w:lvl w:ilvl="0" w:tplc="F6D270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D21CA"/>
    <w:multiLevelType w:val="hybridMultilevel"/>
    <w:tmpl w:val="0D642278"/>
    <w:lvl w:ilvl="0" w:tplc="F6D270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C6A8F"/>
    <w:multiLevelType w:val="hybridMultilevel"/>
    <w:tmpl w:val="76D412BC"/>
    <w:lvl w:ilvl="0" w:tplc="3AC403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2F687A"/>
    <w:multiLevelType w:val="hybridMultilevel"/>
    <w:tmpl w:val="C3E6ED82"/>
    <w:lvl w:ilvl="0" w:tplc="60D648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F31854"/>
    <w:multiLevelType w:val="hybridMultilevel"/>
    <w:tmpl w:val="24E234AC"/>
    <w:lvl w:ilvl="0" w:tplc="4E8A7D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2C113C"/>
    <w:multiLevelType w:val="hybridMultilevel"/>
    <w:tmpl w:val="D9645CEC"/>
    <w:lvl w:ilvl="0" w:tplc="F7401D5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FF348B"/>
    <w:multiLevelType w:val="hybridMultilevel"/>
    <w:tmpl w:val="EC5AB7EC"/>
    <w:lvl w:ilvl="0" w:tplc="F7401D52">
      <w:start w:val="1"/>
      <w:numFmt w:val="bullet"/>
      <w:lvlRestart w:val="0"/>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3">
    <w:nsid w:val="1954671A"/>
    <w:multiLevelType w:val="hybridMultilevel"/>
    <w:tmpl w:val="50BCA6E2"/>
    <w:lvl w:ilvl="0" w:tplc="5156E1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476A01"/>
    <w:multiLevelType w:val="hybridMultilevel"/>
    <w:tmpl w:val="0082B450"/>
    <w:lvl w:ilvl="0" w:tplc="535425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34B03"/>
    <w:multiLevelType w:val="hybridMultilevel"/>
    <w:tmpl w:val="00982570"/>
    <w:lvl w:ilvl="0" w:tplc="AD949BC0">
      <w:start w:val="1"/>
      <w:numFmt w:val="bullet"/>
      <w:lvlRestart w:val="0"/>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A62904"/>
    <w:multiLevelType w:val="hybridMultilevel"/>
    <w:tmpl w:val="74C66B4E"/>
    <w:lvl w:ilvl="0" w:tplc="60D648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3E7956"/>
    <w:multiLevelType w:val="hybridMultilevel"/>
    <w:tmpl w:val="50E6D7A8"/>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AD6EC5"/>
    <w:multiLevelType w:val="hybridMultilevel"/>
    <w:tmpl w:val="7892F222"/>
    <w:lvl w:ilvl="0" w:tplc="3AC403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546E54"/>
    <w:multiLevelType w:val="hybridMultilevel"/>
    <w:tmpl w:val="C76ADA6A"/>
    <w:lvl w:ilvl="0" w:tplc="5156E1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C148CD"/>
    <w:multiLevelType w:val="hybridMultilevel"/>
    <w:tmpl w:val="677C7D24"/>
    <w:lvl w:ilvl="0" w:tplc="CBF2A93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9C07BB"/>
    <w:multiLevelType w:val="hybridMultilevel"/>
    <w:tmpl w:val="A058D0BA"/>
    <w:lvl w:ilvl="0" w:tplc="4E8A7DD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E5013E"/>
    <w:multiLevelType w:val="hybridMultilevel"/>
    <w:tmpl w:val="C9240FDA"/>
    <w:lvl w:ilvl="0" w:tplc="8F9CDE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B06084"/>
    <w:multiLevelType w:val="hybridMultilevel"/>
    <w:tmpl w:val="0B0E8E72"/>
    <w:lvl w:ilvl="0" w:tplc="63D207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4E113D"/>
    <w:multiLevelType w:val="hybridMultilevel"/>
    <w:tmpl w:val="10B08B44"/>
    <w:lvl w:ilvl="0" w:tplc="E7F65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DA487F"/>
    <w:multiLevelType w:val="hybridMultilevel"/>
    <w:tmpl w:val="F08E1780"/>
    <w:lvl w:ilvl="0" w:tplc="C51C570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2E48C5"/>
    <w:multiLevelType w:val="hybridMultilevel"/>
    <w:tmpl w:val="DBFCE122"/>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E53000"/>
    <w:multiLevelType w:val="hybridMultilevel"/>
    <w:tmpl w:val="50E036D4"/>
    <w:lvl w:ilvl="0" w:tplc="3AC403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C13CD4"/>
    <w:multiLevelType w:val="hybridMultilevel"/>
    <w:tmpl w:val="B91ACBCE"/>
    <w:lvl w:ilvl="0" w:tplc="63D207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B7619"/>
    <w:multiLevelType w:val="hybridMultilevel"/>
    <w:tmpl w:val="F56CE176"/>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4D6FA5"/>
    <w:multiLevelType w:val="hybridMultilevel"/>
    <w:tmpl w:val="9E0CC6A2"/>
    <w:lvl w:ilvl="0" w:tplc="4CC223A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A75A8E"/>
    <w:multiLevelType w:val="hybridMultilevel"/>
    <w:tmpl w:val="83A6E8D6"/>
    <w:lvl w:ilvl="0" w:tplc="D19244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FE4183"/>
    <w:multiLevelType w:val="hybridMultilevel"/>
    <w:tmpl w:val="1054D628"/>
    <w:lvl w:ilvl="0" w:tplc="D40A281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764672"/>
    <w:multiLevelType w:val="hybridMultilevel"/>
    <w:tmpl w:val="8A6CCCCE"/>
    <w:lvl w:ilvl="0" w:tplc="19EE149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4F75DB"/>
    <w:multiLevelType w:val="hybridMultilevel"/>
    <w:tmpl w:val="21F4066A"/>
    <w:lvl w:ilvl="0" w:tplc="72500A7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3E3B3E"/>
    <w:multiLevelType w:val="hybridMultilevel"/>
    <w:tmpl w:val="649C1718"/>
    <w:lvl w:ilvl="0" w:tplc="60D648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8F6196"/>
    <w:multiLevelType w:val="hybridMultilevel"/>
    <w:tmpl w:val="0C8CA1C0"/>
    <w:lvl w:ilvl="0" w:tplc="5156E1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C40C3A"/>
    <w:multiLevelType w:val="hybridMultilevel"/>
    <w:tmpl w:val="88244242"/>
    <w:lvl w:ilvl="0" w:tplc="94CE25E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803A18"/>
    <w:multiLevelType w:val="hybridMultilevel"/>
    <w:tmpl w:val="B22E2396"/>
    <w:lvl w:ilvl="0" w:tplc="5156E1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190C38"/>
    <w:multiLevelType w:val="hybridMultilevel"/>
    <w:tmpl w:val="FAD0B710"/>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367EAB"/>
    <w:multiLevelType w:val="hybridMultilevel"/>
    <w:tmpl w:val="565A0BAE"/>
    <w:lvl w:ilvl="0" w:tplc="F7401D5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A44F2F"/>
    <w:multiLevelType w:val="hybridMultilevel"/>
    <w:tmpl w:val="EF6E08B0"/>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6E32F3"/>
    <w:multiLevelType w:val="hybridMultilevel"/>
    <w:tmpl w:val="7FD23832"/>
    <w:lvl w:ilvl="0" w:tplc="558C651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BD5032"/>
    <w:multiLevelType w:val="hybridMultilevel"/>
    <w:tmpl w:val="C0646624"/>
    <w:lvl w:ilvl="0" w:tplc="BC1C231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26274E"/>
    <w:multiLevelType w:val="hybridMultilevel"/>
    <w:tmpl w:val="3428452A"/>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F94AA2"/>
    <w:multiLevelType w:val="hybridMultilevel"/>
    <w:tmpl w:val="D2348DDA"/>
    <w:lvl w:ilvl="0" w:tplc="535425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645065A"/>
    <w:multiLevelType w:val="hybridMultilevel"/>
    <w:tmpl w:val="CD8AB618"/>
    <w:lvl w:ilvl="0" w:tplc="4CC223A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E615C6"/>
    <w:multiLevelType w:val="hybridMultilevel"/>
    <w:tmpl w:val="1E3AE72C"/>
    <w:lvl w:ilvl="0" w:tplc="5E02F7F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632BC7"/>
    <w:multiLevelType w:val="hybridMultilevel"/>
    <w:tmpl w:val="75B8A788"/>
    <w:lvl w:ilvl="0" w:tplc="D7F6AE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CF1A91"/>
    <w:multiLevelType w:val="hybridMultilevel"/>
    <w:tmpl w:val="AE4ABCCE"/>
    <w:lvl w:ilvl="0" w:tplc="736A362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CE355F"/>
    <w:multiLevelType w:val="hybridMultilevel"/>
    <w:tmpl w:val="5CC678C0"/>
    <w:lvl w:ilvl="0" w:tplc="94CE25E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47"/>
  </w:num>
  <w:num w:numId="4">
    <w:abstractNumId w:val="1"/>
  </w:num>
  <w:num w:numId="5">
    <w:abstractNumId w:val="8"/>
  </w:num>
  <w:num w:numId="6">
    <w:abstractNumId w:val="18"/>
  </w:num>
  <w:num w:numId="7">
    <w:abstractNumId w:val="27"/>
  </w:num>
  <w:num w:numId="8">
    <w:abstractNumId w:val="15"/>
  </w:num>
  <w:num w:numId="9">
    <w:abstractNumId w:val="34"/>
  </w:num>
  <w:num w:numId="10">
    <w:abstractNumId w:val="31"/>
  </w:num>
  <w:num w:numId="11">
    <w:abstractNumId w:val="2"/>
  </w:num>
  <w:num w:numId="12">
    <w:abstractNumId w:val="37"/>
  </w:num>
  <w:num w:numId="13">
    <w:abstractNumId w:val="52"/>
  </w:num>
  <w:num w:numId="14">
    <w:abstractNumId w:val="20"/>
  </w:num>
  <w:num w:numId="15">
    <w:abstractNumId w:val="24"/>
  </w:num>
  <w:num w:numId="16">
    <w:abstractNumId w:val="12"/>
  </w:num>
  <w:num w:numId="17">
    <w:abstractNumId w:val="11"/>
  </w:num>
  <w:num w:numId="18">
    <w:abstractNumId w:val="41"/>
  </w:num>
  <w:num w:numId="19">
    <w:abstractNumId w:val="3"/>
  </w:num>
  <w:num w:numId="20">
    <w:abstractNumId w:val="23"/>
  </w:num>
  <w:num w:numId="21">
    <w:abstractNumId w:val="28"/>
  </w:num>
  <w:num w:numId="22">
    <w:abstractNumId w:val="32"/>
  </w:num>
  <w:num w:numId="23">
    <w:abstractNumId w:val="7"/>
  </w:num>
  <w:num w:numId="24">
    <w:abstractNumId w:val="6"/>
  </w:num>
  <w:num w:numId="25">
    <w:abstractNumId w:val="43"/>
  </w:num>
  <w:num w:numId="26">
    <w:abstractNumId w:val="29"/>
  </w:num>
  <w:num w:numId="27">
    <w:abstractNumId w:val="45"/>
  </w:num>
  <w:num w:numId="28">
    <w:abstractNumId w:val="42"/>
  </w:num>
  <w:num w:numId="29">
    <w:abstractNumId w:val="17"/>
  </w:num>
  <w:num w:numId="30">
    <w:abstractNumId w:val="50"/>
  </w:num>
  <w:num w:numId="31">
    <w:abstractNumId w:val="4"/>
  </w:num>
  <w:num w:numId="32">
    <w:abstractNumId w:val="40"/>
  </w:num>
  <w:num w:numId="33">
    <w:abstractNumId w:val="26"/>
  </w:num>
  <w:num w:numId="34">
    <w:abstractNumId w:val="35"/>
  </w:num>
  <w:num w:numId="35">
    <w:abstractNumId w:val="16"/>
  </w:num>
  <w:num w:numId="36">
    <w:abstractNumId w:val="9"/>
  </w:num>
  <w:num w:numId="37">
    <w:abstractNumId w:val="10"/>
  </w:num>
  <w:num w:numId="38">
    <w:abstractNumId w:val="21"/>
  </w:num>
  <w:num w:numId="39">
    <w:abstractNumId w:val="33"/>
  </w:num>
  <w:num w:numId="40">
    <w:abstractNumId w:val="22"/>
  </w:num>
  <w:num w:numId="41">
    <w:abstractNumId w:val="51"/>
  </w:num>
  <w:num w:numId="42">
    <w:abstractNumId w:val="46"/>
  </w:num>
  <w:num w:numId="43">
    <w:abstractNumId w:val="14"/>
  </w:num>
  <w:num w:numId="44">
    <w:abstractNumId w:val="49"/>
  </w:num>
  <w:num w:numId="45">
    <w:abstractNumId w:val="30"/>
  </w:num>
  <w:num w:numId="46">
    <w:abstractNumId w:val="48"/>
  </w:num>
  <w:num w:numId="47">
    <w:abstractNumId w:val="25"/>
  </w:num>
  <w:num w:numId="48">
    <w:abstractNumId w:val="5"/>
  </w:num>
  <w:num w:numId="49">
    <w:abstractNumId w:val="44"/>
  </w:num>
  <w:num w:numId="50">
    <w:abstractNumId w:val="38"/>
  </w:num>
  <w:num w:numId="51">
    <w:abstractNumId w:val="36"/>
  </w:num>
  <w:num w:numId="52">
    <w:abstractNumId w:val="19"/>
  </w:num>
  <w:num w:numId="53">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oNotTrackFormatting/>
  <w:defaultTabStop w:val="720"/>
  <w:evenAndOddHeaders/>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FontSetFontSetFontSetFontSetFontSetFontSetFontSetimistyles.xml"/>
    <w:docVar w:name="XSLPath" w:val="C:\Program Files\Information Mapping\FS Pro 4.1\StyleSheets\"/>
    <w:docVar w:name="XSLstylesheet" w:val="Basic.xsl"/>
  </w:docVars>
  <w:rsids>
    <w:rsidRoot w:val="00361BF9"/>
    <w:rsid w:val="00000859"/>
    <w:rsid w:val="00005171"/>
    <w:rsid w:val="0000542A"/>
    <w:rsid w:val="0001191C"/>
    <w:rsid w:val="00012842"/>
    <w:rsid w:val="00015995"/>
    <w:rsid w:val="00033F37"/>
    <w:rsid w:val="00034664"/>
    <w:rsid w:val="0003481F"/>
    <w:rsid w:val="000417F1"/>
    <w:rsid w:val="000426E5"/>
    <w:rsid w:val="0005151E"/>
    <w:rsid w:val="000517B0"/>
    <w:rsid w:val="0006201A"/>
    <w:rsid w:val="000625B0"/>
    <w:rsid w:val="00067DAE"/>
    <w:rsid w:val="00072526"/>
    <w:rsid w:val="0008046F"/>
    <w:rsid w:val="00080E64"/>
    <w:rsid w:val="000814FB"/>
    <w:rsid w:val="00082391"/>
    <w:rsid w:val="00087AF5"/>
    <w:rsid w:val="000961EC"/>
    <w:rsid w:val="000A4F87"/>
    <w:rsid w:val="000A67DC"/>
    <w:rsid w:val="000A7155"/>
    <w:rsid w:val="000B3947"/>
    <w:rsid w:val="000D4E6F"/>
    <w:rsid w:val="000D7A57"/>
    <w:rsid w:val="000E6F74"/>
    <w:rsid w:val="000F0127"/>
    <w:rsid w:val="000F1265"/>
    <w:rsid w:val="000F572C"/>
    <w:rsid w:val="000F5880"/>
    <w:rsid w:val="000F7D8C"/>
    <w:rsid w:val="0011133B"/>
    <w:rsid w:val="00115ADF"/>
    <w:rsid w:val="001203A5"/>
    <w:rsid w:val="001205CF"/>
    <w:rsid w:val="00121786"/>
    <w:rsid w:val="00123EFF"/>
    <w:rsid w:val="001243B5"/>
    <w:rsid w:val="001317C5"/>
    <w:rsid w:val="00133933"/>
    <w:rsid w:val="00140012"/>
    <w:rsid w:val="00140869"/>
    <w:rsid w:val="001408AD"/>
    <w:rsid w:val="00144651"/>
    <w:rsid w:val="00144DA5"/>
    <w:rsid w:val="00151CF9"/>
    <w:rsid w:val="0015443B"/>
    <w:rsid w:val="001544BA"/>
    <w:rsid w:val="001547B8"/>
    <w:rsid w:val="001572FF"/>
    <w:rsid w:val="001613B8"/>
    <w:rsid w:val="00162FB5"/>
    <w:rsid w:val="001636DB"/>
    <w:rsid w:val="00164165"/>
    <w:rsid w:val="00174B81"/>
    <w:rsid w:val="00176540"/>
    <w:rsid w:val="00176A59"/>
    <w:rsid w:val="00186D77"/>
    <w:rsid w:val="001870A9"/>
    <w:rsid w:val="00187C2A"/>
    <w:rsid w:val="0019339A"/>
    <w:rsid w:val="0019425D"/>
    <w:rsid w:val="00195ECF"/>
    <w:rsid w:val="001967AD"/>
    <w:rsid w:val="001A62A8"/>
    <w:rsid w:val="001A6C0E"/>
    <w:rsid w:val="001B1FF8"/>
    <w:rsid w:val="001B5628"/>
    <w:rsid w:val="001C3179"/>
    <w:rsid w:val="001C5B1C"/>
    <w:rsid w:val="001D509E"/>
    <w:rsid w:val="001E64FD"/>
    <w:rsid w:val="001F1252"/>
    <w:rsid w:val="00204516"/>
    <w:rsid w:val="00205F3F"/>
    <w:rsid w:val="002070BB"/>
    <w:rsid w:val="002148D1"/>
    <w:rsid w:val="00215436"/>
    <w:rsid w:val="00232EA6"/>
    <w:rsid w:val="00233C70"/>
    <w:rsid w:val="002413C2"/>
    <w:rsid w:val="00242B64"/>
    <w:rsid w:val="0024770A"/>
    <w:rsid w:val="00247945"/>
    <w:rsid w:val="002541AA"/>
    <w:rsid w:val="00256306"/>
    <w:rsid w:val="00262BC5"/>
    <w:rsid w:val="002630DD"/>
    <w:rsid w:val="0027032B"/>
    <w:rsid w:val="00272171"/>
    <w:rsid w:val="002749DD"/>
    <w:rsid w:val="00284F0A"/>
    <w:rsid w:val="00286735"/>
    <w:rsid w:val="00291406"/>
    <w:rsid w:val="00294E9D"/>
    <w:rsid w:val="00297BA0"/>
    <w:rsid w:val="002A40E7"/>
    <w:rsid w:val="002B164F"/>
    <w:rsid w:val="002C4433"/>
    <w:rsid w:val="002C46D0"/>
    <w:rsid w:val="002C795B"/>
    <w:rsid w:val="002D0412"/>
    <w:rsid w:val="002D60C8"/>
    <w:rsid w:val="002E0EA7"/>
    <w:rsid w:val="002E2D8F"/>
    <w:rsid w:val="002F2729"/>
    <w:rsid w:val="002F3208"/>
    <w:rsid w:val="002F5A69"/>
    <w:rsid w:val="002F63D7"/>
    <w:rsid w:val="00306E2B"/>
    <w:rsid w:val="0030768A"/>
    <w:rsid w:val="00320A53"/>
    <w:rsid w:val="00321A50"/>
    <w:rsid w:val="00327641"/>
    <w:rsid w:val="003318F9"/>
    <w:rsid w:val="003369E3"/>
    <w:rsid w:val="00336E3B"/>
    <w:rsid w:val="003548D5"/>
    <w:rsid w:val="0036030F"/>
    <w:rsid w:val="00361BF9"/>
    <w:rsid w:val="00365F37"/>
    <w:rsid w:val="00370940"/>
    <w:rsid w:val="00370A4C"/>
    <w:rsid w:val="00374303"/>
    <w:rsid w:val="003753E5"/>
    <w:rsid w:val="00377F02"/>
    <w:rsid w:val="00381729"/>
    <w:rsid w:val="00386B63"/>
    <w:rsid w:val="00391B2D"/>
    <w:rsid w:val="00395643"/>
    <w:rsid w:val="003A1EB4"/>
    <w:rsid w:val="003A697A"/>
    <w:rsid w:val="003B2B80"/>
    <w:rsid w:val="003B69F1"/>
    <w:rsid w:val="003B7CDC"/>
    <w:rsid w:val="003C5FF6"/>
    <w:rsid w:val="003D116E"/>
    <w:rsid w:val="003D2C54"/>
    <w:rsid w:val="003D33D1"/>
    <w:rsid w:val="003D6D46"/>
    <w:rsid w:val="003E252A"/>
    <w:rsid w:val="003E52B7"/>
    <w:rsid w:val="003E62E1"/>
    <w:rsid w:val="003F3B70"/>
    <w:rsid w:val="003F4133"/>
    <w:rsid w:val="0040599A"/>
    <w:rsid w:val="004068EB"/>
    <w:rsid w:val="00406A53"/>
    <w:rsid w:val="00406AB4"/>
    <w:rsid w:val="00410B91"/>
    <w:rsid w:val="004212DD"/>
    <w:rsid w:val="004329E1"/>
    <w:rsid w:val="004342A5"/>
    <w:rsid w:val="00434444"/>
    <w:rsid w:val="00434E73"/>
    <w:rsid w:val="0043566E"/>
    <w:rsid w:val="0043666F"/>
    <w:rsid w:val="00437B18"/>
    <w:rsid w:val="00446792"/>
    <w:rsid w:val="0045295B"/>
    <w:rsid w:val="004538E9"/>
    <w:rsid w:val="00454B94"/>
    <w:rsid w:val="004569AE"/>
    <w:rsid w:val="00461C6A"/>
    <w:rsid w:val="0046723D"/>
    <w:rsid w:val="0047245E"/>
    <w:rsid w:val="00473157"/>
    <w:rsid w:val="004732EA"/>
    <w:rsid w:val="00474DC1"/>
    <w:rsid w:val="004829F6"/>
    <w:rsid w:val="00483F6C"/>
    <w:rsid w:val="004943C2"/>
    <w:rsid w:val="00495F56"/>
    <w:rsid w:val="004A6728"/>
    <w:rsid w:val="004B14D5"/>
    <w:rsid w:val="004B3B91"/>
    <w:rsid w:val="004B421C"/>
    <w:rsid w:val="004B457E"/>
    <w:rsid w:val="004B5413"/>
    <w:rsid w:val="004C1B6D"/>
    <w:rsid w:val="004C3E84"/>
    <w:rsid w:val="004C6CE8"/>
    <w:rsid w:val="004D062A"/>
    <w:rsid w:val="004D3F58"/>
    <w:rsid w:val="004E2191"/>
    <w:rsid w:val="004E2FC4"/>
    <w:rsid w:val="004E40DA"/>
    <w:rsid w:val="004F0CA0"/>
    <w:rsid w:val="004F155F"/>
    <w:rsid w:val="004F2DDB"/>
    <w:rsid w:val="004F3CC2"/>
    <w:rsid w:val="004F7B68"/>
    <w:rsid w:val="00500C03"/>
    <w:rsid w:val="00503752"/>
    <w:rsid w:val="0051302D"/>
    <w:rsid w:val="0052497D"/>
    <w:rsid w:val="00526066"/>
    <w:rsid w:val="00532E65"/>
    <w:rsid w:val="005336B6"/>
    <w:rsid w:val="005343DF"/>
    <w:rsid w:val="005357D2"/>
    <w:rsid w:val="00543FA4"/>
    <w:rsid w:val="00553FD5"/>
    <w:rsid w:val="00555331"/>
    <w:rsid w:val="00570B52"/>
    <w:rsid w:val="00571B07"/>
    <w:rsid w:val="00572DA2"/>
    <w:rsid w:val="00574E20"/>
    <w:rsid w:val="00576542"/>
    <w:rsid w:val="00580413"/>
    <w:rsid w:val="00581145"/>
    <w:rsid w:val="00587E2C"/>
    <w:rsid w:val="005933C6"/>
    <w:rsid w:val="0059792C"/>
    <w:rsid w:val="005A17CC"/>
    <w:rsid w:val="005A7608"/>
    <w:rsid w:val="005B1F84"/>
    <w:rsid w:val="005B29A6"/>
    <w:rsid w:val="005B3DE8"/>
    <w:rsid w:val="005B5573"/>
    <w:rsid w:val="005C411E"/>
    <w:rsid w:val="005D07EB"/>
    <w:rsid w:val="005D29B1"/>
    <w:rsid w:val="005D7823"/>
    <w:rsid w:val="005E1186"/>
    <w:rsid w:val="005E1929"/>
    <w:rsid w:val="005E30AC"/>
    <w:rsid w:val="005F0652"/>
    <w:rsid w:val="005F2685"/>
    <w:rsid w:val="005F3F9D"/>
    <w:rsid w:val="005F65DC"/>
    <w:rsid w:val="00600077"/>
    <w:rsid w:val="006026DC"/>
    <w:rsid w:val="00606BAD"/>
    <w:rsid w:val="00607532"/>
    <w:rsid w:val="00613ACF"/>
    <w:rsid w:val="0061795F"/>
    <w:rsid w:val="00626F52"/>
    <w:rsid w:val="006373E2"/>
    <w:rsid w:val="00641FFE"/>
    <w:rsid w:val="006431F5"/>
    <w:rsid w:val="00652087"/>
    <w:rsid w:val="00654F7A"/>
    <w:rsid w:val="00671BCD"/>
    <w:rsid w:val="006758D1"/>
    <w:rsid w:val="00676A39"/>
    <w:rsid w:val="00676E3F"/>
    <w:rsid w:val="006819A0"/>
    <w:rsid w:val="006833C0"/>
    <w:rsid w:val="00684713"/>
    <w:rsid w:val="00686B1E"/>
    <w:rsid w:val="00693920"/>
    <w:rsid w:val="00695CC8"/>
    <w:rsid w:val="00695FEE"/>
    <w:rsid w:val="006A008E"/>
    <w:rsid w:val="006A0AE7"/>
    <w:rsid w:val="006A12CC"/>
    <w:rsid w:val="006A46BD"/>
    <w:rsid w:val="006A47F0"/>
    <w:rsid w:val="006A513C"/>
    <w:rsid w:val="006A6325"/>
    <w:rsid w:val="006A6FD7"/>
    <w:rsid w:val="006B2192"/>
    <w:rsid w:val="006B659D"/>
    <w:rsid w:val="006D103D"/>
    <w:rsid w:val="006D6051"/>
    <w:rsid w:val="006E5FE4"/>
    <w:rsid w:val="006E6101"/>
    <w:rsid w:val="006F03A7"/>
    <w:rsid w:val="006F045A"/>
    <w:rsid w:val="006F3F49"/>
    <w:rsid w:val="0070106C"/>
    <w:rsid w:val="00701633"/>
    <w:rsid w:val="00701725"/>
    <w:rsid w:val="00706538"/>
    <w:rsid w:val="0071219E"/>
    <w:rsid w:val="00712529"/>
    <w:rsid w:val="00713BF8"/>
    <w:rsid w:val="00717666"/>
    <w:rsid w:val="007177E8"/>
    <w:rsid w:val="00717F63"/>
    <w:rsid w:val="00723070"/>
    <w:rsid w:val="0072698E"/>
    <w:rsid w:val="00730679"/>
    <w:rsid w:val="00732668"/>
    <w:rsid w:val="00735275"/>
    <w:rsid w:val="00736230"/>
    <w:rsid w:val="00737F76"/>
    <w:rsid w:val="00741DB4"/>
    <w:rsid w:val="0075507A"/>
    <w:rsid w:val="007637E4"/>
    <w:rsid w:val="007646D1"/>
    <w:rsid w:val="00766B04"/>
    <w:rsid w:val="007677E7"/>
    <w:rsid w:val="0077104E"/>
    <w:rsid w:val="007717AC"/>
    <w:rsid w:val="00772777"/>
    <w:rsid w:val="007770B1"/>
    <w:rsid w:val="00780C74"/>
    <w:rsid w:val="00781A40"/>
    <w:rsid w:val="00783155"/>
    <w:rsid w:val="00785445"/>
    <w:rsid w:val="007866B0"/>
    <w:rsid w:val="00787919"/>
    <w:rsid w:val="007925F7"/>
    <w:rsid w:val="00793ED0"/>
    <w:rsid w:val="007A30C1"/>
    <w:rsid w:val="007A6B77"/>
    <w:rsid w:val="007A7C29"/>
    <w:rsid w:val="007B2ED2"/>
    <w:rsid w:val="007C471F"/>
    <w:rsid w:val="007D3709"/>
    <w:rsid w:val="007D58DD"/>
    <w:rsid w:val="007E0C4A"/>
    <w:rsid w:val="007E1C27"/>
    <w:rsid w:val="007E1FB5"/>
    <w:rsid w:val="007E4764"/>
    <w:rsid w:val="007E6013"/>
    <w:rsid w:val="007E6655"/>
    <w:rsid w:val="007E67FD"/>
    <w:rsid w:val="007F12FF"/>
    <w:rsid w:val="007F1D99"/>
    <w:rsid w:val="007F1DD7"/>
    <w:rsid w:val="007F388B"/>
    <w:rsid w:val="007F3976"/>
    <w:rsid w:val="007F4FDF"/>
    <w:rsid w:val="007F6831"/>
    <w:rsid w:val="008002DB"/>
    <w:rsid w:val="008036D3"/>
    <w:rsid w:val="00810067"/>
    <w:rsid w:val="00813357"/>
    <w:rsid w:val="00814278"/>
    <w:rsid w:val="008148FB"/>
    <w:rsid w:val="00815751"/>
    <w:rsid w:val="008248B0"/>
    <w:rsid w:val="00826EA4"/>
    <w:rsid w:val="008275BD"/>
    <w:rsid w:val="00830AE7"/>
    <w:rsid w:val="0083463C"/>
    <w:rsid w:val="0084174F"/>
    <w:rsid w:val="0084559E"/>
    <w:rsid w:val="00846BD7"/>
    <w:rsid w:val="008503F3"/>
    <w:rsid w:val="008512B1"/>
    <w:rsid w:val="00854E06"/>
    <w:rsid w:val="008570DE"/>
    <w:rsid w:val="0086260E"/>
    <w:rsid w:val="008627B2"/>
    <w:rsid w:val="00865FC1"/>
    <w:rsid w:val="00871C25"/>
    <w:rsid w:val="008763FE"/>
    <w:rsid w:val="0087711F"/>
    <w:rsid w:val="0088121C"/>
    <w:rsid w:val="00881CD6"/>
    <w:rsid w:val="00891914"/>
    <w:rsid w:val="0089211D"/>
    <w:rsid w:val="00892BFE"/>
    <w:rsid w:val="008A10B0"/>
    <w:rsid w:val="008A57C2"/>
    <w:rsid w:val="008A7F1E"/>
    <w:rsid w:val="008B7ABB"/>
    <w:rsid w:val="008C13D9"/>
    <w:rsid w:val="008C211C"/>
    <w:rsid w:val="008C3E1A"/>
    <w:rsid w:val="008C6E0B"/>
    <w:rsid w:val="008D3C23"/>
    <w:rsid w:val="008E1504"/>
    <w:rsid w:val="008E665A"/>
    <w:rsid w:val="008F432D"/>
    <w:rsid w:val="008F64B6"/>
    <w:rsid w:val="008F68FA"/>
    <w:rsid w:val="00902C91"/>
    <w:rsid w:val="00910E4E"/>
    <w:rsid w:val="00911D8B"/>
    <w:rsid w:val="00913F24"/>
    <w:rsid w:val="009165F6"/>
    <w:rsid w:val="009171C6"/>
    <w:rsid w:val="0093784A"/>
    <w:rsid w:val="009413D9"/>
    <w:rsid w:val="009429EC"/>
    <w:rsid w:val="00953959"/>
    <w:rsid w:val="00954CA7"/>
    <w:rsid w:val="00955A3C"/>
    <w:rsid w:val="00967315"/>
    <w:rsid w:val="0097199F"/>
    <w:rsid w:val="009721DA"/>
    <w:rsid w:val="00973BF2"/>
    <w:rsid w:val="00977ACF"/>
    <w:rsid w:val="00982917"/>
    <w:rsid w:val="00983A22"/>
    <w:rsid w:val="0098589A"/>
    <w:rsid w:val="0099194F"/>
    <w:rsid w:val="00991CB6"/>
    <w:rsid w:val="009954D4"/>
    <w:rsid w:val="0099681A"/>
    <w:rsid w:val="009A6BE8"/>
    <w:rsid w:val="009A71F6"/>
    <w:rsid w:val="009A7511"/>
    <w:rsid w:val="009B05B8"/>
    <w:rsid w:val="009B1B96"/>
    <w:rsid w:val="009B256F"/>
    <w:rsid w:val="009B4F05"/>
    <w:rsid w:val="009B670F"/>
    <w:rsid w:val="009C3BD2"/>
    <w:rsid w:val="009C7AA7"/>
    <w:rsid w:val="009D2FD4"/>
    <w:rsid w:val="009E72A8"/>
    <w:rsid w:val="009E746F"/>
    <w:rsid w:val="009F308D"/>
    <w:rsid w:val="009F6EC6"/>
    <w:rsid w:val="00A04945"/>
    <w:rsid w:val="00A04F89"/>
    <w:rsid w:val="00A06ADA"/>
    <w:rsid w:val="00A0747D"/>
    <w:rsid w:val="00A075F6"/>
    <w:rsid w:val="00A07C48"/>
    <w:rsid w:val="00A1375A"/>
    <w:rsid w:val="00A155DA"/>
    <w:rsid w:val="00A17DB4"/>
    <w:rsid w:val="00A2044F"/>
    <w:rsid w:val="00A225DF"/>
    <w:rsid w:val="00A2314C"/>
    <w:rsid w:val="00A24224"/>
    <w:rsid w:val="00A25B9D"/>
    <w:rsid w:val="00A307AE"/>
    <w:rsid w:val="00A3161B"/>
    <w:rsid w:val="00A36A3A"/>
    <w:rsid w:val="00A44687"/>
    <w:rsid w:val="00A507D5"/>
    <w:rsid w:val="00A60C19"/>
    <w:rsid w:val="00A637C6"/>
    <w:rsid w:val="00A702DC"/>
    <w:rsid w:val="00A8128E"/>
    <w:rsid w:val="00A819A6"/>
    <w:rsid w:val="00A835B6"/>
    <w:rsid w:val="00A8507A"/>
    <w:rsid w:val="00A958EE"/>
    <w:rsid w:val="00AA00B7"/>
    <w:rsid w:val="00AA10F5"/>
    <w:rsid w:val="00AA596F"/>
    <w:rsid w:val="00AB3DCB"/>
    <w:rsid w:val="00AB5405"/>
    <w:rsid w:val="00AB541A"/>
    <w:rsid w:val="00AC7814"/>
    <w:rsid w:val="00AD2038"/>
    <w:rsid w:val="00AD5409"/>
    <w:rsid w:val="00AD64CE"/>
    <w:rsid w:val="00AE313F"/>
    <w:rsid w:val="00AF0EDA"/>
    <w:rsid w:val="00B023A8"/>
    <w:rsid w:val="00B14403"/>
    <w:rsid w:val="00B152AB"/>
    <w:rsid w:val="00B16AA7"/>
    <w:rsid w:val="00B32866"/>
    <w:rsid w:val="00B37311"/>
    <w:rsid w:val="00B41B35"/>
    <w:rsid w:val="00B42A72"/>
    <w:rsid w:val="00B43D94"/>
    <w:rsid w:val="00B4454E"/>
    <w:rsid w:val="00B45228"/>
    <w:rsid w:val="00B4527B"/>
    <w:rsid w:val="00B46AEA"/>
    <w:rsid w:val="00B5082F"/>
    <w:rsid w:val="00B5189B"/>
    <w:rsid w:val="00B5351B"/>
    <w:rsid w:val="00B63368"/>
    <w:rsid w:val="00B6776C"/>
    <w:rsid w:val="00B768FD"/>
    <w:rsid w:val="00B85A69"/>
    <w:rsid w:val="00B867FD"/>
    <w:rsid w:val="00B91600"/>
    <w:rsid w:val="00B956B8"/>
    <w:rsid w:val="00B97BE5"/>
    <w:rsid w:val="00BA026E"/>
    <w:rsid w:val="00BA1940"/>
    <w:rsid w:val="00BA32AC"/>
    <w:rsid w:val="00BA366E"/>
    <w:rsid w:val="00BC0B84"/>
    <w:rsid w:val="00BC2354"/>
    <w:rsid w:val="00BC7C62"/>
    <w:rsid w:val="00BC7D18"/>
    <w:rsid w:val="00BD0FE0"/>
    <w:rsid w:val="00BD2636"/>
    <w:rsid w:val="00BD442C"/>
    <w:rsid w:val="00BE71BE"/>
    <w:rsid w:val="00BE7216"/>
    <w:rsid w:val="00BF4FCF"/>
    <w:rsid w:val="00BF51B7"/>
    <w:rsid w:val="00BF6452"/>
    <w:rsid w:val="00BF7378"/>
    <w:rsid w:val="00C000DA"/>
    <w:rsid w:val="00C02E1A"/>
    <w:rsid w:val="00C03038"/>
    <w:rsid w:val="00C13B49"/>
    <w:rsid w:val="00C16802"/>
    <w:rsid w:val="00C20103"/>
    <w:rsid w:val="00C22F4F"/>
    <w:rsid w:val="00C25BDC"/>
    <w:rsid w:val="00C31682"/>
    <w:rsid w:val="00C3275E"/>
    <w:rsid w:val="00C3351E"/>
    <w:rsid w:val="00C347A2"/>
    <w:rsid w:val="00C43EE9"/>
    <w:rsid w:val="00C45396"/>
    <w:rsid w:val="00C45C59"/>
    <w:rsid w:val="00C46204"/>
    <w:rsid w:val="00C475FE"/>
    <w:rsid w:val="00C57028"/>
    <w:rsid w:val="00C57D1A"/>
    <w:rsid w:val="00C63C90"/>
    <w:rsid w:val="00C75788"/>
    <w:rsid w:val="00C81D39"/>
    <w:rsid w:val="00C87AE0"/>
    <w:rsid w:val="00C87DAD"/>
    <w:rsid w:val="00C903F0"/>
    <w:rsid w:val="00C94D7F"/>
    <w:rsid w:val="00C9776A"/>
    <w:rsid w:val="00CA2B87"/>
    <w:rsid w:val="00CA40E9"/>
    <w:rsid w:val="00CA6EFF"/>
    <w:rsid w:val="00CB1498"/>
    <w:rsid w:val="00CB1788"/>
    <w:rsid w:val="00CB7044"/>
    <w:rsid w:val="00CC258D"/>
    <w:rsid w:val="00CC34AD"/>
    <w:rsid w:val="00CC4E9D"/>
    <w:rsid w:val="00CD4A3E"/>
    <w:rsid w:val="00CE46D7"/>
    <w:rsid w:val="00CF0084"/>
    <w:rsid w:val="00D034C3"/>
    <w:rsid w:val="00D039FC"/>
    <w:rsid w:val="00D058C7"/>
    <w:rsid w:val="00D1322F"/>
    <w:rsid w:val="00D17D39"/>
    <w:rsid w:val="00D278A4"/>
    <w:rsid w:val="00D43447"/>
    <w:rsid w:val="00D4645A"/>
    <w:rsid w:val="00D4684C"/>
    <w:rsid w:val="00D50F4F"/>
    <w:rsid w:val="00D517E8"/>
    <w:rsid w:val="00D53668"/>
    <w:rsid w:val="00D632FA"/>
    <w:rsid w:val="00D63E83"/>
    <w:rsid w:val="00D647FD"/>
    <w:rsid w:val="00D67257"/>
    <w:rsid w:val="00D70B22"/>
    <w:rsid w:val="00D73C4B"/>
    <w:rsid w:val="00D806B1"/>
    <w:rsid w:val="00D80D7B"/>
    <w:rsid w:val="00D872BE"/>
    <w:rsid w:val="00D971E2"/>
    <w:rsid w:val="00DA4813"/>
    <w:rsid w:val="00DC75A8"/>
    <w:rsid w:val="00DD236E"/>
    <w:rsid w:val="00DD4CF5"/>
    <w:rsid w:val="00DD6A19"/>
    <w:rsid w:val="00DE0E26"/>
    <w:rsid w:val="00DE1573"/>
    <w:rsid w:val="00DE2C0E"/>
    <w:rsid w:val="00DE7765"/>
    <w:rsid w:val="00DF50B4"/>
    <w:rsid w:val="00DF6F89"/>
    <w:rsid w:val="00E02841"/>
    <w:rsid w:val="00E0379D"/>
    <w:rsid w:val="00E0406A"/>
    <w:rsid w:val="00E04B09"/>
    <w:rsid w:val="00E05A3B"/>
    <w:rsid w:val="00E13C02"/>
    <w:rsid w:val="00E13FD1"/>
    <w:rsid w:val="00E161E2"/>
    <w:rsid w:val="00E17759"/>
    <w:rsid w:val="00E177DB"/>
    <w:rsid w:val="00E213E3"/>
    <w:rsid w:val="00E22D61"/>
    <w:rsid w:val="00E234F9"/>
    <w:rsid w:val="00E25233"/>
    <w:rsid w:val="00E33C5D"/>
    <w:rsid w:val="00E349C0"/>
    <w:rsid w:val="00E365E3"/>
    <w:rsid w:val="00E37B51"/>
    <w:rsid w:val="00E442F3"/>
    <w:rsid w:val="00E47067"/>
    <w:rsid w:val="00E47415"/>
    <w:rsid w:val="00E475B3"/>
    <w:rsid w:val="00E52661"/>
    <w:rsid w:val="00E52A54"/>
    <w:rsid w:val="00E53834"/>
    <w:rsid w:val="00E54E2B"/>
    <w:rsid w:val="00E62C28"/>
    <w:rsid w:val="00E67CF6"/>
    <w:rsid w:val="00E70C69"/>
    <w:rsid w:val="00E7468F"/>
    <w:rsid w:val="00E96BB0"/>
    <w:rsid w:val="00EA018A"/>
    <w:rsid w:val="00EA0D24"/>
    <w:rsid w:val="00EA1421"/>
    <w:rsid w:val="00EA57BB"/>
    <w:rsid w:val="00EB25E2"/>
    <w:rsid w:val="00EB5A9B"/>
    <w:rsid w:val="00EB5DCC"/>
    <w:rsid w:val="00EC6216"/>
    <w:rsid w:val="00ED0E77"/>
    <w:rsid w:val="00ED3F88"/>
    <w:rsid w:val="00EE2416"/>
    <w:rsid w:val="00EE2F50"/>
    <w:rsid w:val="00EE502F"/>
    <w:rsid w:val="00EE6516"/>
    <w:rsid w:val="00EE666E"/>
    <w:rsid w:val="00EE7F6B"/>
    <w:rsid w:val="00EF1007"/>
    <w:rsid w:val="00EF39DC"/>
    <w:rsid w:val="00F157FF"/>
    <w:rsid w:val="00F1681E"/>
    <w:rsid w:val="00F17210"/>
    <w:rsid w:val="00F23265"/>
    <w:rsid w:val="00F35F0E"/>
    <w:rsid w:val="00F466B5"/>
    <w:rsid w:val="00F53C3E"/>
    <w:rsid w:val="00F64AB5"/>
    <w:rsid w:val="00F64E16"/>
    <w:rsid w:val="00F67713"/>
    <w:rsid w:val="00F71835"/>
    <w:rsid w:val="00F721A8"/>
    <w:rsid w:val="00F73EA8"/>
    <w:rsid w:val="00F76175"/>
    <w:rsid w:val="00F76A0F"/>
    <w:rsid w:val="00F76F1B"/>
    <w:rsid w:val="00F80110"/>
    <w:rsid w:val="00F82B14"/>
    <w:rsid w:val="00F8372E"/>
    <w:rsid w:val="00F83CBC"/>
    <w:rsid w:val="00F92841"/>
    <w:rsid w:val="00F92F61"/>
    <w:rsid w:val="00FA5E2F"/>
    <w:rsid w:val="00FA66C6"/>
    <w:rsid w:val="00FB03DF"/>
    <w:rsid w:val="00FB0F59"/>
    <w:rsid w:val="00FB2906"/>
    <w:rsid w:val="00FB78A7"/>
    <w:rsid w:val="00FC1C4C"/>
    <w:rsid w:val="00FC452C"/>
    <w:rsid w:val="00FC539E"/>
    <w:rsid w:val="00FC763F"/>
    <w:rsid w:val="00FD09EB"/>
    <w:rsid w:val="00FD1083"/>
    <w:rsid w:val="00FE2F45"/>
    <w:rsid w:val="00FF410C"/>
    <w:rsid w:val="00FF4A6C"/>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19F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409"/>
    <w:rPr>
      <w:color w:val="000000"/>
      <w:sz w:val="24"/>
      <w:szCs w:val="24"/>
    </w:rPr>
  </w:style>
  <w:style w:type="paragraph" w:styleId="Heading1">
    <w:name w:val="heading 1"/>
    <w:aliases w:val="Part Title"/>
    <w:basedOn w:val="Normal"/>
    <w:next w:val="Heading4"/>
    <w:qFormat/>
    <w:rsid w:val="006A6325"/>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6A6325"/>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6A6325"/>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6A6325"/>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6A6325"/>
    <w:pPr>
      <w:outlineLvl w:val="4"/>
    </w:pPr>
    <w:rPr>
      <w:b/>
      <w:sz w:val="22"/>
      <w:szCs w:val="20"/>
    </w:rPr>
  </w:style>
  <w:style w:type="paragraph" w:styleId="Heading6">
    <w:name w:val="heading 6"/>
    <w:aliases w:val="Sub Label"/>
    <w:basedOn w:val="Heading5"/>
    <w:next w:val="BlockText"/>
    <w:qFormat/>
    <w:rsid w:val="006A6325"/>
    <w:pPr>
      <w:spacing w:before="240" w:after="60"/>
      <w:outlineLvl w:val="5"/>
    </w:pPr>
    <w:rPr>
      <w:i/>
    </w:rPr>
  </w:style>
  <w:style w:type="paragraph" w:styleId="Heading7">
    <w:name w:val="heading 7"/>
    <w:basedOn w:val="Normal"/>
    <w:next w:val="Normal"/>
    <w:qFormat/>
    <w:rsid w:val="00FC539E"/>
    <w:pPr>
      <w:spacing w:before="240" w:after="60"/>
      <w:outlineLvl w:val="6"/>
    </w:pPr>
    <w:rPr>
      <w:rFonts w:ascii="Arial" w:hAnsi="Arial"/>
    </w:rPr>
  </w:style>
  <w:style w:type="paragraph" w:styleId="Heading8">
    <w:name w:val="heading 8"/>
    <w:basedOn w:val="Normal"/>
    <w:next w:val="Normal"/>
    <w:qFormat/>
    <w:rsid w:val="00FC539E"/>
    <w:pPr>
      <w:spacing w:before="240" w:after="60"/>
      <w:outlineLvl w:val="7"/>
    </w:pPr>
    <w:rPr>
      <w:rFonts w:ascii="Arial" w:hAnsi="Arial"/>
      <w:i/>
    </w:rPr>
  </w:style>
  <w:style w:type="paragraph" w:styleId="Heading9">
    <w:name w:val="heading 9"/>
    <w:basedOn w:val="Normal"/>
    <w:next w:val="Normal"/>
    <w:qFormat/>
    <w:rsid w:val="00FC539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325"/>
    <w:pPr>
      <w:tabs>
        <w:tab w:val="center" w:pos="4680"/>
        <w:tab w:val="right" w:pos="9360"/>
      </w:tabs>
    </w:pPr>
    <w:rPr>
      <w:color w:val="auto"/>
    </w:rPr>
  </w:style>
  <w:style w:type="paragraph" w:styleId="MacroText">
    <w:name w:val="macro"/>
    <w:semiHidden/>
    <w:rsid w:val="00FC53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6A6325"/>
    <w:pPr>
      <w:pBdr>
        <w:top w:val="single" w:sz="6" w:space="1" w:color="000000"/>
        <w:between w:val="single" w:sz="6" w:space="1" w:color="auto"/>
      </w:pBdr>
      <w:spacing w:before="240"/>
      <w:ind w:left="1728"/>
    </w:pPr>
    <w:rPr>
      <w:szCs w:val="20"/>
    </w:rPr>
  </w:style>
  <w:style w:type="paragraph" w:styleId="BlockText">
    <w:name w:val="Block Text"/>
    <w:basedOn w:val="Normal"/>
    <w:qFormat/>
    <w:rsid w:val="006A6325"/>
  </w:style>
  <w:style w:type="paragraph" w:customStyle="1" w:styleId="BulletText1">
    <w:name w:val="Bullet Text 1"/>
    <w:basedOn w:val="Normal"/>
    <w:rsid w:val="006A6325"/>
    <w:pPr>
      <w:numPr>
        <w:numId w:val="2"/>
      </w:numPr>
    </w:pPr>
    <w:rPr>
      <w:szCs w:val="20"/>
    </w:rPr>
  </w:style>
  <w:style w:type="paragraph" w:customStyle="1" w:styleId="BulletText2">
    <w:name w:val="Bullet Text 2"/>
    <w:basedOn w:val="Normal"/>
    <w:rsid w:val="006A6325"/>
    <w:pPr>
      <w:numPr>
        <w:numId w:val="4"/>
      </w:numPr>
    </w:pPr>
    <w:rPr>
      <w:szCs w:val="20"/>
    </w:rPr>
  </w:style>
  <w:style w:type="paragraph" w:customStyle="1" w:styleId="ContinuedOnNextPa">
    <w:name w:val="Continued On Next Pa"/>
    <w:basedOn w:val="Normal"/>
    <w:next w:val="Normal"/>
    <w:rsid w:val="006A6325"/>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6A6325"/>
    <w:pPr>
      <w:spacing w:after="240"/>
    </w:pPr>
    <w:rPr>
      <w:b/>
      <w:sz w:val="22"/>
      <w:szCs w:val="20"/>
    </w:rPr>
  </w:style>
  <w:style w:type="paragraph" w:customStyle="1" w:styleId="MapTitleContinued">
    <w:name w:val="Map Title. Continued"/>
    <w:basedOn w:val="Normal"/>
    <w:next w:val="Normal"/>
    <w:rsid w:val="006A6325"/>
    <w:pPr>
      <w:spacing w:after="240"/>
    </w:pPr>
    <w:rPr>
      <w:rFonts w:ascii="Arial" w:hAnsi="Arial" w:cs="Arial"/>
      <w:b/>
      <w:sz w:val="32"/>
      <w:szCs w:val="20"/>
    </w:rPr>
  </w:style>
  <w:style w:type="paragraph" w:customStyle="1" w:styleId="MemoLine">
    <w:name w:val="Memo Line"/>
    <w:basedOn w:val="BlockLine"/>
    <w:next w:val="Normal"/>
    <w:rsid w:val="006A6325"/>
  </w:style>
  <w:style w:type="paragraph" w:styleId="Footer">
    <w:name w:val="footer"/>
    <w:basedOn w:val="Normal"/>
    <w:link w:val="FooterChar"/>
    <w:rsid w:val="006A6325"/>
    <w:pPr>
      <w:tabs>
        <w:tab w:val="center" w:pos="4680"/>
        <w:tab w:val="right" w:pos="9360"/>
      </w:tabs>
    </w:pPr>
    <w:rPr>
      <w:color w:val="auto"/>
    </w:rPr>
  </w:style>
  <w:style w:type="character" w:styleId="PageNumber">
    <w:name w:val="page number"/>
    <w:basedOn w:val="DefaultParagraphFont"/>
    <w:semiHidden/>
    <w:rsid w:val="00FC539E"/>
  </w:style>
  <w:style w:type="paragraph" w:customStyle="1" w:styleId="TableText">
    <w:name w:val="Table Text"/>
    <w:basedOn w:val="Normal"/>
    <w:qFormat/>
    <w:rsid w:val="006A6325"/>
    <w:rPr>
      <w:szCs w:val="20"/>
    </w:rPr>
  </w:style>
  <w:style w:type="paragraph" w:customStyle="1" w:styleId="NoteText">
    <w:name w:val="Note Text"/>
    <w:basedOn w:val="Normal"/>
    <w:rsid w:val="006A6325"/>
    <w:rPr>
      <w:szCs w:val="20"/>
    </w:rPr>
  </w:style>
  <w:style w:type="paragraph" w:customStyle="1" w:styleId="TableHeaderText">
    <w:name w:val="Table Header Text"/>
    <w:basedOn w:val="Normal"/>
    <w:rsid w:val="006A6325"/>
    <w:pPr>
      <w:jc w:val="center"/>
    </w:pPr>
    <w:rPr>
      <w:b/>
      <w:szCs w:val="20"/>
    </w:rPr>
  </w:style>
  <w:style w:type="paragraph" w:customStyle="1" w:styleId="EmbeddedText">
    <w:name w:val="Embedded Text"/>
    <w:basedOn w:val="Normal"/>
    <w:rsid w:val="006A6325"/>
    <w:rPr>
      <w:szCs w:val="20"/>
    </w:rPr>
  </w:style>
  <w:style w:type="paragraph" w:styleId="TOC1">
    <w:name w:val="toc 1"/>
    <w:basedOn w:val="Normal"/>
    <w:next w:val="Normal"/>
    <w:autoRedefine/>
    <w:semiHidden/>
    <w:rsid w:val="00FC539E"/>
    <w:pPr>
      <w:ind w:left="57"/>
    </w:pPr>
  </w:style>
  <w:style w:type="paragraph" w:styleId="TOC2">
    <w:name w:val="toc 2"/>
    <w:basedOn w:val="Normal"/>
    <w:next w:val="Normal"/>
    <w:autoRedefine/>
    <w:semiHidden/>
    <w:rsid w:val="00FC539E"/>
    <w:pPr>
      <w:ind w:left="240"/>
    </w:pPr>
  </w:style>
  <w:style w:type="paragraph" w:styleId="TOC3">
    <w:name w:val="toc 3"/>
    <w:basedOn w:val="Normal"/>
    <w:next w:val="Normal"/>
    <w:autoRedefine/>
    <w:uiPriority w:val="39"/>
    <w:rsid w:val="006A6325"/>
    <w:pPr>
      <w:ind w:left="480"/>
    </w:pPr>
  </w:style>
  <w:style w:type="paragraph" w:styleId="TOC4">
    <w:name w:val="toc 4"/>
    <w:basedOn w:val="Normal"/>
    <w:next w:val="Normal"/>
    <w:autoRedefine/>
    <w:uiPriority w:val="39"/>
    <w:rsid w:val="006A6325"/>
    <w:pPr>
      <w:ind w:left="720"/>
    </w:pPr>
  </w:style>
  <w:style w:type="paragraph" w:styleId="TOC5">
    <w:name w:val="toc 5"/>
    <w:basedOn w:val="Normal"/>
    <w:next w:val="Normal"/>
    <w:autoRedefine/>
    <w:semiHidden/>
    <w:rsid w:val="00FC539E"/>
    <w:pPr>
      <w:ind w:left="960"/>
    </w:pPr>
  </w:style>
  <w:style w:type="paragraph" w:styleId="TOC6">
    <w:name w:val="toc 6"/>
    <w:basedOn w:val="Normal"/>
    <w:next w:val="Normal"/>
    <w:autoRedefine/>
    <w:semiHidden/>
    <w:rsid w:val="00FC539E"/>
    <w:pPr>
      <w:ind w:left="1200"/>
    </w:pPr>
  </w:style>
  <w:style w:type="paragraph" w:styleId="TOC7">
    <w:name w:val="toc 7"/>
    <w:basedOn w:val="Normal"/>
    <w:next w:val="Normal"/>
    <w:autoRedefine/>
    <w:semiHidden/>
    <w:rsid w:val="00FC539E"/>
    <w:pPr>
      <w:ind w:left="1440"/>
    </w:pPr>
  </w:style>
  <w:style w:type="paragraph" w:styleId="TOC8">
    <w:name w:val="toc 8"/>
    <w:basedOn w:val="Normal"/>
    <w:next w:val="Normal"/>
    <w:autoRedefine/>
    <w:semiHidden/>
    <w:rsid w:val="00FC539E"/>
    <w:pPr>
      <w:ind w:left="1680"/>
    </w:pPr>
  </w:style>
  <w:style w:type="paragraph" w:styleId="TOC9">
    <w:name w:val="toc 9"/>
    <w:basedOn w:val="Normal"/>
    <w:next w:val="Normal"/>
    <w:autoRedefine/>
    <w:semiHidden/>
    <w:rsid w:val="00FC539E"/>
    <w:pPr>
      <w:ind w:left="1920"/>
    </w:pPr>
  </w:style>
  <w:style w:type="paragraph" w:styleId="BodyText">
    <w:name w:val="Body Text"/>
    <w:basedOn w:val="Normal"/>
    <w:semiHidden/>
    <w:rsid w:val="00FC539E"/>
    <w:pPr>
      <w:tabs>
        <w:tab w:val="left" w:pos="450"/>
        <w:tab w:val="right" w:pos="8640"/>
      </w:tabs>
      <w:ind w:right="72"/>
    </w:pPr>
  </w:style>
  <w:style w:type="paragraph" w:styleId="FootnoteText">
    <w:name w:val="footnote text"/>
    <w:basedOn w:val="Normal"/>
    <w:semiHidden/>
    <w:rsid w:val="00FC539E"/>
    <w:rPr>
      <w:rFonts w:ascii="Courier New" w:hAnsi="Courier New"/>
      <w:sz w:val="20"/>
    </w:rPr>
  </w:style>
  <w:style w:type="character" w:styleId="Emphasis">
    <w:name w:val="Emphasis"/>
    <w:basedOn w:val="DefaultParagraphFont"/>
    <w:qFormat/>
    <w:rsid w:val="00FC539E"/>
    <w:rPr>
      <w:i/>
    </w:rPr>
  </w:style>
  <w:style w:type="paragraph" w:styleId="ListBullet">
    <w:name w:val="List Bullet"/>
    <w:basedOn w:val="Normal"/>
    <w:autoRedefine/>
    <w:semiHidden/>
    <w:rsid w:val="00FC539E"/>
    <w:pPr>
      <w:numPr>
        <w:numId w:val="1"/>
      </w:numPr>
    </w:pPr>
  </w:style>
  <w:style w:type="character" w:styleId="Hyperlink">
    <w:name w:val="Hyperlink"/>
    <w:rsid w:val="006A6325"/>
    <w:rPr>
      <w:color w:val="0000FF"/>
      <w:u w:val="single"/>
    </w:rPr>
  </w:style>
  <w:style w:type="character" w:styleId="FootnoteReference">
    <w:name w:val="footnote reference"/>
    <w:basedOn w:val="DefaultParagraphFont"/>
    <w:semiHidden/>
    <w:rsid w:val="00FC539E"/>
    <w:rPr>
      <w:position w:val="6"/>
      <w:sz w:val="16"/>
    </w:rPr>
  </w:style>
  <w:style w:type="paragraph" w:styleId="BodyText2">
    <w:name w:val="Body Text 2"/>
    <w:basedOn w:val="Normal"/>
    <w:semiHidden/>
    <w:rsid w:val="00FC539E"/>
    <w:pPr>
      <w:tabs>
        <w:tab w:val="left" w:pos="540"/>
        <w:tab w:val="right" w:pos="8820"/>
      </w:tabs>
      <w:ind w:right="36"/>
    </w:pPr>
  </w:style>
  <w:style w:type="paragraph" w:styleId="BodyText3">
    <w:name w:val="Body Text 3"/>
    <w:basedOn w:val="Normal"/>
    <w:semiHidden/>
    <w:rsid w:val="00FC539E"/>
    <w:pPr>
      <w:tabs>
        <w:tab w:val="left" w:pos="540"/>
        <w:tab w:val="right" w:pos="8820"/>
      </w:tabs>
      <w:ind w:right="-360"/>
    </w:pPr>
  </w:style>
  <w:style w:type="paragraph" w:styleId="Caption">
    <w:name w:val="caption"/>
    <w:basedOn w:val="Normal"/>
    <w:next w:val="Normal"/>
    <w:qFormat/>
    <w:rsid w:val="00FC539E"/>
    <w:pPr>
      <w:spacing w:before="120" w:after="120"/>
    </w:pPr>
    <w:rPr>
      <w:b/>
    </w:rPr>
  </w:style>
  <w:style w:type="character" w:customStyle="1" w:styleId="Continued">
    <w:name w:val="Continued"/>
    <w:basedOn w:val="DefaultParagraphFont"/>
    <w:rsid w:val="00FC539E"/>
    <w:rPr>
      <w:rFonts w:ascii="Arial" w:hAnsi="Arial"/>
      <w:sz w:val="24"/>
    </w:rPr>
  </w:style>
  <w:style w:type="paragraph" w:customStyle="1" w:styleId="ContinuedBlockLabel">
    <w:name w:val="Continued Block Label"/>
    <w:basedOn w:val="Normal"/>
    <w:next w:val="Normal"/>
    <w:rsid w:val="006A6325"/>
    <w:pPr>
      <w:spacing w:after="240"/>
    </w:pPr>
    <w:rPr>
      <w:b/>
      <w:sz w:val="22"/>
      <w:szCs w:val="20"/>
    </w:rPr>
  </w:style>
  <w:style w:type="character" w:customStyle="1" w:styleId="Jump">
    <w:name w:val="Jump"/>
    <w:basedOn w:val="DefaultParagraphFont"/>
    <w:rsid w:val="00FC539E"/>
    <w:rPr>
      <w:color w:val="FF0000"/>
    </w:rPr>
  </w:style>
  <w:style w:type="paragraph" w:customStyle="1" w:styleId="PublicationTitle">
    <w:name w:val="Publication Title"/>
    <w:basedOn w:val="Normal"/>
    <w:next w:val="Heading4"/>
    <w:rsid w:val="006A6325"/>
    <w:pPr>
      <w:spacing w:after="240"/>
      <w:jc w:val="center"/>
    </w:pPr>
    <w:rPr>
      <w:rFonts w:ascii="Arial" w:hAnsi="Arial" w:cs="Arial"/>
      <w:b/>
      <w:sz w:val="32"/>
      <w:szCs w:val="20"/>
    </w:rPr>
  </w:style>
  <w:style w:type="paragraph" w:customStyle="1" w:styleId="TOCTitle">
    <w:name w:val="TOC Title"/>
    <w:basedOn w:val="Normal"/>
    <w:rsid w:val="006A6325"/>
    <w:pPr>
      <w:widowControl w:val="0"/>
    </w:pPr>
    <w:rPr>
      <w:rFonts w:ascii="Arial" w:hAnsi="Arial" w:cs="Arial"/>
      <w:b/>
      <w:sz w:val="32"/>
      <w:szCs w:val="20"/>
    </w:rPr>
  </w:style>
  <w:style w:type="paragraph" w:customStyle="1" w:styleId="TOCItem">
    <w:name w:val="TOCItem"/>
    <w:basedOn w:val="Normal"/>
    <w:rsid w:val="006A6325"/>
    <w:pPr>
      <w:tabs>
        <w:tab w:val="left" w:leader="dot" w:pos="7061"/>
        <w:tab w:val="right" w:pos="7524"/>
      </w:tabs>
      <w:spacing w:before="60" w:after="60"/>
      <w:ind w:right="465"/>
    </w:pPr>
    <w:rPr>
      <w:szCs w:val="20"/>
    </w:rPr>
  </w:style>
  <w:style w:type="paragraph" w:customStyle="1" w:styleId="TOCStem">
    <w:name w:val="TOCStem"/>
    <w:basedOn w:val="Normal"/>
    <w:rsid w:val="006A6325"/>
    <w:rPr>
      <w:szCs w:val="20"/>
    </w:rPr>
  </w:style>
  <w:style w:type="character" w:styleId="FollowedHyperlink">
    <w:name w:val="FollowedHyperlink"/>
    <w:rsid w:val="006A6325"/>
    <w:rPr>
      <w:color w:val="800080"/>
      <w:u w:val="single"/>
    </w:rPr>
  </w:style>
  <w:style w:type="paragraph" w:customStyle="1" w:styleId="BulletText3">
    <w:name w:val="Bullet Text 3"/>
    <w:basedOn w:val="Normal"/>
    <w:rsid w:val="006A6325"/>
    <w:pPr>
      <w:numPr>
        <w:numId w:val="3"/>
      </w:numPr>
      <w:tabs>
        <w:tab w:val="clear" w:pos="173"/>
      </w:tabs>
      <w:ind w:left="533" w:hanging="173"/>
    </w:pPr>
    <w:rPr>
      <w:szCs w:val="20"/>
    </w:rPr>
  </w:style>
  <w:style w:type="character" w:styleId="HTMLAcronym">
    <w:name w:val="HTML Acronym"/>
    <w:basedOn w:val="DefaultParagraphFont"/>
    <w:rsid w:val="006A6325"/>
  </w:style>
  <w:style w:type="paragraph" w:customStyle="1" w:styleId="IMTOC">
    <w:name w:val="IMTOC"/>
    <w:rsid w:val="006A6325"/>
    <w:rPr>
      <w:sz w:val="24"/>
    </w:rPr>
  </w:style>
  <w:style w:type="character" w:customStyle="1" w:styleId="referencecode1">
    <w:name w:val="referencecode1"/>
    <w:basedOn w:val="DefaultParagraphFont"/>
    <w:rsid w:val="00FC539E"/>
    <w:rPr>
      <w:b w:val="0"/>
      <w:bCs w:val="0"/>
      <w:sz w:val="24"/>
      <w:szCs w:val="24"/>
    </w:rPr>
  </w:style>
  <w:style w:type="paragraph" w:styleId="BalloonText">
    <w:name w:val="Balloon Text"/>
    <w:basedOn w:val="Normal"/>
    <w:link w:val="BalloonTextChar"/>
    <w:semiHidden/>
    <w:rsid w:val="006A6325"/>
    <w:rPr>
      <w:rFonts w:ascii="Tahoma" w:hAnsi="Tahoma" w:cs="Tahoma"/>
      <w:sz w:val="16"/>
      <w:szCs w:val="16"/>
    </w:rPr>
  </w:style>
  <w:style w:type="character" w:customStyle="1" w:styleId="BalloonTextChar">
    <w:name w:val="Balloon Text Char"/>
    <w:basedOn w:val="DefaultParagraphFont"/>
    <w:link w:val="BalloonText"/>
    <w:semiHidden/>
    <w:rsid w:val="007E1C27"/>
    <w:rPr>
      <w:rFonts w:ascii="Tahoma" w:hAnsi="Tahoma" w:cs="Tahoma"/>
      <w:color w:val="000000"/>
      <w:sz w:val="16"/>
      <w:szCs w:val="16"/>
    </w:rPr>
  </w:style>
  <w:style w:type="table" w:styleId="TableGrid">
    <w:name w:val="Table Grid"/>
    <w:basedOn w:val="TableNormal"/>
    <w:uiPriority w:val="59"/>
    <w:rsid w:val="006A63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6A6325"/>
    <w:rPr>
      <w:sz w:val="24"/>
      <w:szCs w:val="24"/>
    </w:rPr>
  </w:style>
  <w:style w:type="character" w:customStyle="1" w:styleId="FooterChar">
    <w:name w:val="Footer Char"/>
    <w:link w:val="Footer"/>
    <w:rsid w:val="006A6325"/>
    <w:rPr>
      <w:sz w:val="24"/>
      <w:szCs w:val="24"/>
    </w:rPr>
  </w:style>
  <w:style w:type="character" w:styleId="CommentReference">
    <w:name w:val="annotation reference"/>
    <w:basedOn w:val="DefaultParagraphFont"/>
    <w:uiPriority w:val="99"/>
    <w:semiHidden/>
    <w:unhideWhenUsed/>
    <w:rsid w:val="003A697A"/>
    <w:rPr>
      <w:sz w:val="16"/>
      <w:szCs w:val="16"/>
    </w:rPr>
  </w:style>
  <w:style w:type="paragraph" w:styleId="CommentText">
    <w:name w:val="annotation text"/>
    <w:basedOn w:val="Normal"/>
    <w:link w:val="CommentTextChar"/>
    <w:uiPriority w:val="99"/>
    <w:unhideWhenUsed/>
    <w:rsid w:val="003A697A"/>
    <w:rPr>
      <w:sz w:val="20"/>
      <w:szCs w:val="20"/>
    </w:rPr>
  </w:style>
  <w:style w:type="character" w:customStyle="1" w:styleId="CommentTextChar">
    <w:name w:val="Comment Text Char"/>
    <w:basedOn w:val="DefaultParagraphFont"/>
    <w:link w:val="CommentText"/>
    <w:uiPriority w:val="99"/>
    <w:rsid w:val="003A697A"/>
    <w:rPr>
      <w:color w:val="000000"/>
    </w:rPr>
  </w:style>
  <w:style w:type="paragraph" w:styleId="CommentSubject">
    <w:name w:val="annotation subject"/>
    <w:basedOn w:val="CommentText"/>
    <w:next w:val="CommentText"/>
    <w:link w:val="CommentSubjectChar"/>
    <w:uiPriority w:val="99"/>
    <w:semiHidden/>
    <w:unhideWhenUsed/>
    <w:rsid w:val="003A697A"/>
    <w:rPr>
      <w:b/>
      <w:bCs/>
    </w:rPr>
  </w:style>
  <w:style w:type="character" w:customStyle="1" w:styleId="CommentSubjectChar">
    <w:name w:val="Comment Subject Char"/>
    <w:basedOn w:val="CommentTextChar"/>
    <w:link w:val="CommentSubject"/>
    <w:uiPriority w:val="99"/>
    <w:semiHidden/>
    <w:rsid w:val="003A697A"/>
    <w:rPr>
      <w:b/>
      <w:bCs/>
      <w:color w:val="000000"/>
    </w:rPr>
  </w:style>
  <w:style w:type="paragraph" w:styleId="ListParagraph">
    <w:name w:val="List Paragraph"/>
    <w:basedOn w:val="Normal"/>
    <w:uiPriority w:val="34"/>
    <w:qFormat/>
    <w:rsid w:val="00F71835"/>
    <w:pPr>
      <w:ind w:left="720"/>
      <w:contextualSpacing/>
    </w:pPr>
  </w:style>
  <w:style w:type="paragraph" w:styleId="Revision">
    <w:name w:val="Revision"/>
    <w:hidden/>
    <w:uiPriority w:val="99"/>
    <w:semiHidden/>
    <w:rsid w:val="0051302D"/>
    <w:rPr>
      <w:color w:val="000000"/>
      <w:sz w:val="24"/>
      <w:szCs w:val="24"/>
    </w:rPr>
  </w:style>
  <w:style w:type="paragraph" w:styleId="BodyTextIndent">
    <w:name w:val="Body Text Indent"/>
    <w:basedOn w:val="Normal"/>
    <w:link w:val="BodyTextIndentChar"/>
    <w:uiPriority w:val="99"/>
    <w:semiHidden/>
    <w:unhideWhenUsed/>
    <w:rsid w:val="00E475B3"/>
    <w:pPr>
      <w:spacing w:after="120"/>
      <w:ind w:left="360"/>
    </w:pPr>
  </w:style>
  <w:style w:type="character" w:customStyle="1" w:styleId="BodyTextIndentChar">
    <w:name w:val="Body Text Indent Char"/>
    <w:basedOn w:val="DefaultParagraphFont"/>
    <w:link w:val="BodyTextIndent"/>
    <w:uiPriority w:val="99"/>
    <w:semiHidden/>
    <w:rsid w:val="00E475B3"/>
    <w:rPr>
      <w:color w:val="000000"/>
      <w:sz w:val="24"/>
      <w:szCs w:val="24"/>
    </w:rPr>
  </w:style>
  <w:style w:type="paragraph" w:styleId="NormalWeb">
    <w:name w:val="Normal (Web)"/>
    <w:basedOn w:val="Normal"/>
    <w:semiHidden/>
    <w:rsid w:val="00E475B3"/>
    <w:pPr>
      <w:overflowPunct w:val="0"/>
      <w:autoSpaceDE w:val="0"/>
      <w:autoSpaceDN w:val="0"/>
      <w:adjustRightInd w:val="0"/>
      <w:spacing w:before="100" w:after="100"/>
      <w:textAlignment w:val="baseline"/>
    </w:pPr>
    <w:rPr>
      <w:color w:val="auto"/>
      <w:szCs w:val="20"/>
    </w:rPr>
  </w:style>
  <w:style w:type="paragraph" w:customStyle="1" w:styleId="VBASubtitle2">
    <w:name w:val="VBA Subtitle 2"/>
    <w:basedOn w:val="Normal"/>
    <w:rsid w:val="00E475B3"/>
    <w:pPr>
      <w:overflowPunct w:val="0"/>
      <w:autoSpaceDE w:val="0"/>
      <w:autoSpaceDN w:val="0"/>
      <w:adjustRightInd w:val="0"/>
      <w:textAlignment w:val="baseline"/>
    </w:pPr>
    <w:rPr>
      <w:b/>
      <w:color w:val="auto"/>
      <w:szCs w:val="20"/>
    </w:rPr>
  </w:style>
  <w:style w:type="paragraph" w:customStyle="1" w:styleId="RFWpara">
    <w:name w:val="RFWpara"/>
    <w:basedOn w:val="Normal"/>
    <w:rsid w:val="00F92F61"/>
    <w:pPr>
      <w:ind w:left="288"/>
    </w:pPr>
    <w:rPr>
      <w:color w:val="auto"/>
    </w:rPr>
  </w:style>
  <w:style w:type="paragraph" w:customStyle="1" w:styleId="VBAbodytext">
    <w:name w:val="VBA body text"/>
    <w:basedOn w:val="Normal"/>
    <w:rsid w:val="00EC6216"/>
    <w:pPr>
      <w:overflowPunct w:val="0"/>
      <w:autoSpaceDE w:val="0"/>
      <w:autoSpaceDN w:val="0"/>
      <w:adjustRightInd w:val="0"/>
      <w:spacing w:before="120" w:after="240"/>
      <w:textAlignment w:val="baseline"/>
    </w:pPr>
    <w:rPr>
      <w:color w:val="auto"/>
      <w:szCs w:val="20"/>
    </w:rPr>
  </w:style>
  <w:style w:type="paragraph" w:customStyle="1" w:styleId="VSRHandoutHeading">
    <w:name w:val="VSR Handout Heading"/>
    <w:basedOn w:val="Normal"/>
    <w:next w:val="VBAbodytext"/>
    <w:rsid w:val="00EC6216"/>
    <w:pPr>
      <w:overflowPunct w:val="0"/>
      <w:autoSpaceDE w:val="0"/>
      <w:autoSpaceDN w:val="0"/>
      <w:adjustRightInd w:val="0"/>
      <w:spacing w:before="120" w:after="60"/>
      <w:jc w:val="center"/>
      <w:textAlignment w:val="baseline"/>
    </w:pPr>
    <w:rPr>
      <w:b/>
      <w:smallCaps/>
      <w:color w:val="auto"/>
      <w:sz w:val="28"/>
      <w:szCs w:val="20"/>
    </w:rPr>
  </w:style>
  <w:style w:type="paragraph" w:customStyle="1" w:styleId="Default">
    <w:name w:val="Default"/>
    <w:rsid w:val="00256306"/>
    <w:pPr>
      <w:autoSpaceDE w:val="0"/>
      <w:autoSpaceDN w:val="0"/>
      <w:adjustRightInd w:val="0"/>
    </w:pPr>
    <w:rPr>
      <w:rFonts w:ascii="Arial" w:eastAsiaTheme="minorHAnsi" w:hAnsi="Arial" w:cs="Arial"/>
      <w:color w:val="000000"/>
      <w:sz w:val="24"/>
      <w:szCs w:val="24"/>
    </w:rPr>
  </w:style>
  <w:style w:type="character" w:customStyle="1" w:styleId="Heading5Char">
    <w:name w:val="Heading 5 Char"/>
    <w:aliases w:val="Block Label Char"/>
    <w:basedOn w:val="DefaultParagraphFont"/>
    <w:link w:val="Heading5"/>
    <w:rsid w:val="00A958EE"/>
    <w:rPr>
      <w:b/>
      <w:color w:val="000000"/>
      <w:sz w:val="22"/>
    </w:rPr>
  </w:style>
  <w:style w:type="paragraph" w:styleId="HTMLPreformatted">
    <w:name w:val="HTML Preformatted"/>
    <w:basedOn w:val="Normal"/>
    <w:link w:val="HTMLPreformattedChar"/>
    <w:uiPriority w:val="99"/>
    <w:unhideWhenUsed/>
    <w:rsid w:val="0077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7717A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409"/>
    <w:rPr>
      <w:color w:val="000000"/>
      <w:sz w:val="24"/>
      <w:szCs w:val="24"/>
    </w:rPr>
  </w:style>
  <w:style w:type="paragraph" w:styleId="Heading1">
    <w:name w:val="heading 1"/>
    <w:aliases w:val="Part Title"/>
    <w:basedOn w:val="Normal"/>
    <w:next w:val="Heading4"/>
    <w:qFormat/>
    <w:rsid w:val="006A6325"/>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6A6325"/>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6A6325"/>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6A6325"/>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6A6325"/>
    <w:pPr>
      <w:outlineLvl w:val="4"/>
    </w:pPr>
    <w:rPr>
      <w:b/>
      <w:sz w:val="22"/>
      <w:szCs w:val="20"/>
    </w:rPr>
  </w:style>
  <w:style w:type="paragraph" w:styleId="Heading6">
    <w:name w:val="heading 6"/>
    <w:aliases w:val="Sub Label"/>
    <w:basedOn w:val="Heading5"/>
    <w:next w:val="BlockText"/>
    <w:qFormat/>
    <w:rsid w:val="006A6325"/>
    <w:pPr>
      <w:spacing w:before="240" w:after="60"/>
      <w:outlineLvl w:val="5"/>
    </w:pPr>
    <w:rPr>
      <w:i/>
    </w:rPr>
  </w:style>
  <w:style w:type="paragraph" w:styleId="Heading7">
    <w:name w:val="heading 7"/>
    <w:basedOn w:val="Normal"/>
    <w:next w:val="Normal"/>
    <w:qFormat/>
    <w:rsid w:val="00FC539E"/>
    <w:pPr>
      <w:spacing w:before="240" w:after="60"/>
      <w:outlineLvl w:val="6"/>
    </w:pPr>
    <w:rPr>
      <w:rFonts w:ascii="Arial" w:hAnsi="Arial"/>
    </w:rPr>
  </w:style>
  <w:style w:type="paragraph" w:styleId="Heading8">
    <w:name w:val="heading 8"/>
    <w:basedOn w:val="Normal"/>
    <w:next w:val="Normal"/>
    <w:qFormat/>
    <w:rsid w:val="00FC539E"/>
    <w:pPr>
      <w:spacing w:before="240" w:after="60"/>
      <w:outlineLvl w:val="7"/>
    </w:pPr>
    <w:rPr>
      <w:rFonts w:ascii="Arial" w:hAnsi="Arial"/>
      <w:i/>
    </w:rPr>
  </w:style>
  <w:style w:type="paragraph" w:styleId="Heading9">
    <w:name w:val="heading 9"/>
    <w:basedOn w:val="Normal"/>
    <w:next w:val="Normal"/>
    <w:qFormat/>
    <w:rsid w:val="00FC539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325"/>
    <w:pPr>
      <w:tabs>
        <w:tab w:val="center" w:pos="4680"/>
        <w:tab w:val="right" w:pos="9360"/>
      </w:tabs>
    </w:pPr>
    <w:rPr>
      <w:color w:val="auto"/>
    </w:rPr>
  </w:style>
  <w:style w:type="paragraph" w:styleId="MacroText">
    <w:name w:val="macro"/>
    <w:semiHidden/>
    <w:rsid w:val="00FC53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6A6325"/>
    <w:pPr>
      <w:pBdr>
        <w:top w:val="single" w:sz="6" w:space="1" w:color="000000"/>
        <w:between w:val="single" w:sz="6" w:space="1" w:color="auto"/>
      </w:pBdr>
      <w:spacing w:before="240"/>
      <w:ind w:left="1728"/>
    </w:pPr>
    <w:rPr>
      <w:szCs w:val="20"/>
    </w:rPr>
  </w:style>
  <w:style w:type="paragraph" w:styleId="BlockText">
    <w:name w:val="Block Text"/>
    <w:basedOn w:val="Normal"/>
    <w:qFormat/>
    <w:rsid w:val="006A6325"/>
  </w:style>
  <w:style w:type="paragraph" w:customStyle="1" w:styleId="BulletText1">
    <w:name w:val="Bullet Text 1"/>
    <w:basedOn w:val="Normal"/>
    <w:rsid w:val="006A6325"/>
    <w:pPr>
      <w:numPr>
        <w:numId w:val="2"/>
      </w:numPr>
    </w:pPr>
    <w:rPr>
      <w:szCs w:val="20"/>
    </w:rPr>
  </w:style>
  <w:style w:type="paragraph" w:customStyle="1" w:styleId="BulletText2">
    <w:name w:val="Bullet Text 2"/>
    <w:basedOn w:val="Normal"/>
    <w:rsid w:val="006A6325"/>
    <w:pPr>
      <w:numPr>
        <w:numId w:val="4"/>
      </w:numPr>
    </w:pPr>
    <w:rPr>
      <w:szCs w:val="20"/>
    </w:rPr>
  </w:style>
  <w:style w:type="paragraph" w:customStyle="1" w:styleId="ContinuedOnNextPa">
    <w:name w:val="Continued On Next Pa"/>
    <w:basedOn w:val="Normal"/>
    <w:next w:val="Normal"/>
    <w:rsid w:val="006A6325"/>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6A6325"/>
    <w:pPr>
      <w:spacing w:after="240"/>
    </w:pPr>
    <w:rPr>
      <w:b/>
      <w:sz w:val="22"/>
      <w:szCs w:val="20"/>
    </w:rPr>
  </w:style>
  <w:style w:type="paragraph" w:customStyle="1" w:styleId="MapTitleContinued">
    <w:name w:val="Map Title. Continued"/>
    <w:basedOn w:val="Normal"/>
    <w:next w:val="Normal"/>
    <w:rsid w:val="006A6325"/>
    <w:pPr>
      <w:spacing w:after="240"/>
    </w:pPr>
    <w:rPr>
      <w:rFonts w:ascii="Arial" w:hAnsi="Arial" w:cs="Arial"/>
      <w:b/>
      <w:sz w:val="32"/>
      <w:szCs w:val="20"/>
    </w:rPr>
  </w:style>
  <w:style w:type="paragraph" w:customStyle="1" w:styleId="MemoLine">
    <w:name w:val="Memo Line"/>
    <w:basedOn w:val="BlockLine"/>
    <w:next w:val="Normal"/>
    <w:rsid w:val="006A6325"/>
  </w:style>
  <w:style w:type="paragraph" w:styleId="Footer">
    <w:name w:val="footer"/>
    <w:basedOn w:val="Normal"/>
    <w:link w:val="FooterChar"/>
    <w:rsid w:val="006A6325"/>
    <w:pPr>
      <w:tabs>
        <w:tab w:val="center" w:pos="4680"/>
        <w:tab w:val="right" w:pos="9360"/>
      </w:tabs>
    </w:pPr>
    <w:rPr>
      <w:color w:val="auto"/>
    </w:rPr>
  </w:style>
  <w:style w:type="character" w:styleId="PageNumber">
    <w:name w:val="page number"/>
    <w:basedOn w:val="DefaultParagraphFont"/>
    <w:semiHidden/>
    <w:rsid w:val="00FC539E"/>
  </w:style>
  <w:style w:type="paragraph" w:customStyle="1" w:styleId="TableText">
    <w:name w:val="Table Text"/>
    <w:basedOn w:val="Normal"/>
    <w:qFormat/>
    <w:rsid w:val="006A6325"/>
    <w:rPr>
      <w:szCs w:val="20"/>
    </w:rPr>
  </w:style>
  <w:style w:type="paragraph" w:customStyle="1" w:styleId="NoteText">
    <w:name w:val="Note Text"/>
    <w:basedOn w:val="Normal"/>
    <w:rsid w:val="006A6325"/>
    <w:rPr>
      <w:szCs w:val="20"/>
    </w:rPr>
  </w:style>
  <w:style w:type="paragraph" w:customStyle="1" w:styleId="TableHeaderText">
    <w:name w:val="Table Header Text"/>
    <w:basedOn w:val="Normal"/>
    <w:rsid w:val="006A6325"/>
    <w:pPr>
      <w:jc w:val="center"/>
    </w:pPr>
    <w:rPr>
      <w:b/>
      <w:szCs w:val="20"/>
    </w:rPr>
  </w:style>
  <w:style w:type="paragraph" w:customStyle="1" w:styleId="EmbeddedText">
    <w:name w:val="Embedded Text"/>
    <w:basedOn w:val="Normal"/>
    <w:rsid w:val="006A6325"/>
    <w:rPr>
      <w:szCs w:val="20"/>
    </w:rPr>
  </w:style>
  <w:style w:type="paragraph" w:styleId="TOC1">
    <w:name w:val="toc 1"/>
    <w:basedOn w:val="Normal"/>
    <w:next w:val="Normal"/>
    <w:autoRedefine/>
    <w:semiHidden/>
    <w:rsid w:val="00FC539E"/>
    <w:pPr>
      <w:ind w:left="57"/>
    </w:pPr>
  </w:style>
  <w:style w:type="paragraph" w:styleId="TOC2">
    <w:name w:val="toc 2"/>
    <w:basedOn w:val="Normal"/>
    <w:next w:val="Normal"/>
    <w:autoRedefine/>
    <w:semiHidden/>
    <w:rsid w:val="00FC539E"/>
    <w:pPr>
      <w:ind w:left="240"/>
    </w:pPr>
  </w:style>
  <w:style w:type="paragraph" w:styleId="TOC3">
    <w:name w:val="toc 3"/>
    <w:basedOn w:val="Normal"/>
    <w:next w:val="Normal"/>
    <w:autoRedefine/>
    <w:uiPriority w:val="39"/>
    <w:rsid w:val="006A6325"/>
    <w:pPr>
      <w:ind w:left="480"/>
    </w:pPr>
  </w:style>
  <w:style w:type="paragraph" w:styleId="TOC4">
    <w:name w:val="toc 4"/>
    <w:basedOn w:val="Normal"/>
    <w:next w:val="Normal"/>
    <w:autoRedefine/>
    <w:uiPriority w:val="39"/>
    <w:rsid w:val="006A6325"/>
    <w:pPr>
      <w:ind w:left="720"/>
    </w:pPr>
  </w:style>
  <w:style w:type="paragraph" w:styleId="TOC5">
    <w:name w:val="toc 5"/>
    <w:basedOn w:val="Normal"/>
    <w:next w:val="Normal"/>
    <w:autoRedefine/>
    <w:semiHidden/>
    <w:rsid w:val="00FC539E"/>
    <w:pPr>
      <w:ind w:left="960"/>
    </w:pPr>
  </w:style>
  <w:style w:type="paragraph" w:styleId="TOC6">
    <w:name w:val="toc 6"/>
    <w:basedOn w:val="Normal"/>
    <w:next w:val="Normal"/>
    <w:autoRedefine/>
    <w:semiHidden/>
    <w:rsid w:val="00FC539E"/>
    <w:pPr>
      <w:ind w:left="1200"/>
    </w:pPr>
  </w:style>
  <w:style w:type="paragraph" w:styleId="TOC7">
    <w:name w:val="toc 7"/>
    <w:basedOn w:val="Normal"/>
    <w:next w:val="Normal"/>
    <w:autoRedefine/>
    <w:semiHidden/>
    <w:rsid w:val="00FC539E"/>
    <w:pPr>
      <w:ind w:left="1440"/>
    </w:pPr>
  </w:style>
  <w:style w:type="paragraph" w:styleId="TOC8">
    <w:name w:val="toc 8"/>
    <w:basedOn w:val="Normal"/>
    <w:next w:val="Normal"/>
    <w:autoRedefine/>
    <w:semiHidden/>
    <w:rsid w:val="00FC539E"/>
    <w:pPr>
      <w:ind w:left="1680"/>
    </w:pPr>
  </w:style>
  <w:style w:type="paragraph" w:styleId="TOC9">
    <w:name w:val="toc 9"/>
    <w:basedOn w:val="Normal"/>
    <w:next w:val="Normal"/>
    <w:autoRedefine/>
    <w:semiHidden/>
    <w:rsid w:val="00FC539E"/>
    <w:pPr>
      <w:ind w:left="1920"/>
    </w:pPr>
  </w:style>
  <w:style w:type="paragraph" w:styleId="BodyText">
    <w:name w:val="Body Text"/>
    <w:basedOn w:val="Normal"/>
    <w:semiHidden/>
    <w:rsid w:val="00FC539E"/>
    <w:pPr>
      <w:tabs>
        <w:tab w:val="left" w:pos="450"/>
        <w:tab w:val="right" w:pos="8640"/>
      </w:tabs>
      <w:ind w:right="72"/>
    </w:pPr>
  </w:style>
  <w:style w:type="paragraph" w:styleId="FootnoteText">
    <w:name w:val="footnote text"/>
    <w:basedOn w:val="Normal"/>
    <w:semiHidden/>
    <w:rsid w:val="00FC539E"/>
    <w:rPr>
      <w:rFonts w:ascii="Courier New" w:hAnsi="Courier New"/>
      <w:sz w:val="20"/>
    </w:rPr>
  </w:style>
  <w:style w:type="character" w:styleId="Emphasis">
    <w:name w:val="Emphasis"/>
    <w:basedOn w:val="DefaultParagraphFont"/>
    <w:qFormat/>
    <w:rsid w:val="00FC539E"/>
    <w:rPr>
      <w:i/>
    </w:rPr>
  </w:style>
  <w:style w:type="paragraph" w:styleId="ListBullet">
    <w:name w:val="List Bullet"/>
    <w:basedOn w:val="Normal"/>
    <w:autoRedefine/>
    <w:semiHidden/>
    <w:rsid w:val="00FC539E"/>
    <w:pPr>
      <w:numPr>
        <w:numId w:val="1"/>
      </w:numPr>
    </w:pPr>
  </w:style>
  <w:style w:type="character" w:styleId="Hyperlink">
    <w:name w:val="Hyperlink"/>
    <w:rsid w:val="006A6325"/>
    <w:rPr>
      <w:color w:val="0000FF"/>
      <w:u w:val="single"/>
    </w:rPr>
  </w:style>
  <w:style w:type="character" w:styleId="FootnoteReference">
    <w:name w:val="footnote reference"/>
    <w:basedOn w:val="DefaultParagraphFont"/>
    <w:semiHidden/>
    <w:rsid w:val="00FC539E"/>
    <w:rPr>
      <w:position w:val="6"/>
      <w:sz w:val="16"/>
    </w:rPr>
  </w:style>
  <w:style w:type="paragraph" w:styleId="BodyText2">
    <w:name w:val="Body Text 2"/>
    <w:basedOn w:val="Normal"/>
    <w:semiHidden/>
    <w:rsid w:val="00FC539E"/>
    <w:pPr>
      <w:tabs>
        <w:tab w:val="left" w:pos="540"/>
        <w:tab w:val="right" w:pos="8820"/>
      </w:tabs>
      <w:ind w:right="36"/>
    </w:pPr>
  </w:style>
  <w:style w:type="paragraph" w:styleId="BodyText3">
    <w:name w:val="Body Text 3"/>
    <w:basedOn w:val="Normal"/>
    <w:semiHidden/>
    <w:rsid w:val="00FC539E"/>
    <w:pPr>
      <w:tabs>
        <w:tab w:val="left" w:pos="540"/>
        <w:tab w:val="right" w:pos="8820"/>
      </w:tabs>
      <w:ind w:right="-360"/>
    </w:pPr>
  </w:style>
  <w:style w:type="paragraph" w:styleId="Caption">
    <w:name w:val="caption"/>
    <w:basedOn w:val="Normal"/>
    <w:next w:val="Normal"/>
    <w:qFormat/>
    <w:rsid w:val="00FC539E"/>
    <w:pPr>
      <w:spacing w:before="120" w:after="120"/>
    </w:pPr>
    <w:rPr>
      <w:b/>
    </w:rPr>
  </w:style>
  <w:style w:type="character" w:customStyle="1" w:styleId="Continued">
    <w:name w:val="Continued"/>
    <w:basedOn w:val="DefaultParagraphFont"/>
    <w:rsid w:val="00FC539E"/>
    <w:rPr>
      <w:rFonts w:ascii="Arial" w:hAnsi="Arial"/>
      <w:sz w:val="24"/>
    </w:rPr>
  </w:style>
  <w:style w:type="paragraph" w:customStyle="1" w:styleId="ContinuedBlockLabel">
    <w:name w:val="Continued Block Label"/>
    <w:basedOn w:val="Normal"/>
    <w:next w:val="Normal"/>
    <w:rsid w:val="006A6325"/>
    <w:pPr>
      <w:spacing w:after="240"/>
    </w:pPr>
    <w:rPr>
      <w:b/>
      <w:sz w:val="22"/>
      <w:szCs w:val="20"/>
    </w:rPr>
  </w:style>
  <w:style w:type="character" w:customStyle="1" w:styleId="Jump">
    <w:name w:val="Jump"/>
    <w:basedOn w:val="DefaultParagraphFont"/>
    <w:rsid w:val="00FC539E"/>
    <w:rPr>
      <w:color w:val="FF0000"/>
    </w:rPr>
  </w:style>
  <w:style w:type="paragraph" w:customStyle="1" w:styleId="PublicationTitle">
    <w:name w:val="Publication Title"/>
    <w:basedOn w:val="Normal"/>
    <w:next w:val="Heading4"/>
    <w:rsid w:val="006A6325"/>
    <w:pPr>
      <w:spacing w:after="240"/>
      <w:jc w:val="center"/>
    </w:pPr>
    <w:rPr>
      <w:rFonts w:ascii="Arial" w:hAnsi="Arial" w:cs="Arial"/>
      <w:b/>
      <w:sz w:val="32"/>
      <w:szCs w:val="20"/>
    </w:rPr>
  </w:style>
  <w:style w:type="paragraph" w:customStyle="1" w:styleId="TOCTitle">
    <w:name w:val="TOC Title"/>
    <w:basedOn w:val="Normal"/>
    <w:rsid w:val="006A6325"/>
    <w:pPr>
      <w:widowControl w:val="0"/>
    </w:pPr>
    <w:rPr>
      <w:rFonts w:ascii="Arial" w:hAnsi="Arial" w:cs="Arial"/>
      <w:b/>
      <w:sz w:val="32"/>
      <w:szCs w:val="20"/>
    </w:rPr>
  </w:style>
  <w:style w:type="paragraph" w:customStyle="1" w:styleId="TOCItem">
    <w:name w:val="TOCItem"/>
    <w:basedOn w:val="Normal"/>
    <w:rsid w:val="006A6325"/>
    <w:pPr>
      <w:tabs>
        <w:tab w:val="left" w:leader="dot" w:pos="7061"/>
        <w:tab w:val="right" w:pos="7524"/>
      </w:tabs>
      <w:spacing w:before="60" w:after="60"/>
      <w:ind w:right="465"/>
    </w:pPr>
    <w:rPr>
      <w:szCs w:val="20"/>
    </w:rPr>
  </w:style>
  <w:style w:type="paragraph" w:customStyle="1" w:styleId="TOCStem">
    <w:name w:val="TOCStem"/>
    <w:basedOn w:val="Normal"/>
    <w:rsid w:val="006A6325"/>
    <w:rPr>
      <w:szCs w:val="20"/>
    </w:rPr>
  </w:style>
  <w:style w:type="character" w:styleId="FollowedHyperlink">
    <w:name w:val="FollowedHyperlink"/>
    <w:rsid w:val="006A6325"/>
    <w:rPr>
      <w:color w:val="800080"/>
      <w:u w:val="single"/>
    </w:rPr>
  </w:style>
  <w:style w:type="paragraph" w:customStyle="1" w:styleId="BulletText3">
    <w:name w:val="Bullet Text 3"/>
    <w:basedOn w:val="Normal"/>
    <w:rsid w:val="006A6325"/>
    <w:pPr>
      <w:numPr>
        <w:numId w:val="3"/>
      </w:numPr>
      <w:tabs>
        <w:tab w:val="clear" w:pos="173"/>
      </w:tabs>
      <w:ind w:left="533" w:hanging="173"/>
    </w:pPr>
    <w:rPr>
      <w:szCs w:val="20"/>
    </w:rPr>
  </w:style>
  <w:style w:type="character" w:styleId="HTMLAcronym">
    <w:name w:val="HTML Acronym"/>
    <w:basedOn w:val="DefaultParagraphFont"/>
    <w:rsid w:val="006A6325"/>
  </w:style>
  <w:style w:type="paragraph" w:customStyle="1" w:styleId="IMTOC">
    <w:name w:val="IMTOC"/>
    <w:rsid w:val="006A6325"/>
    <w:rPr>
      <w:sz w:val="24"/>
    </w:rPr>
  </w:style>
  <w:style w:type="character" w:customStyle="1" w:styleId="referencecode1">
    <w:name w:val="referencecode1"/>
    <w:basedOn w:val="DefaultParagraphFont"/>
    <w:rsid w:val="00FC539E"/>
    <w:rPr>
      <w:b w:val="0"/>
      <w:bCs w:val="0"/>
      <w:sz w:val="24"/>
      <w:szCs w:val="24"/>
    </w:rPr>
  </w:style>
  <w:style w:type="paragraph" w:styleId="BalloonText">
    <w:name w:val="Balloon Text"/>
    <w:basedOn w:val="Normal"/>
    <w:link w:val="BalloonTextChar"/>
    <w:semiHidden/>
    <w:rsid w:val="006A6325"/>
    <w:rPr>
      <w:rFonts w:ascii="Tahoma" w:hAnsi="Tahoma" w:cs="Tahoma"/>
      <w:sz w:val="16"/>
      <w:szCs w:val="16"/>
    </w:rPr>
  </w:style>
  <w:style w:type="character" w:customStyle="1" w:styleId="BalloonTextChar">
    <w:name w:val="Balloon Text Char"/>
    <w:basedOn w:val="DefaultParagraphFont"/>
    <w:link w:val="BalloonText"/>
    <w:semiHidden/>
    <w:rsid w:val="007E1C27"/>
    <w:rPr>
      <w:rFonts w:ascii="Tahoma" w:hAnsi="Tahoma" w:cs="Tahoma"/>
      <w:color w:val="000000"/>
      <w:sz w:val="16"/>
      <w:szCs w:val="16"/>
    </w:rPr>
  </w:style>
  <w:style w:type="table" w:styleId="TableGrid">
    <w:name w:val="Table Grid"/>
    <w:basedOn w:val="TableNormal"/>
    <w:uiPriority w:val="59"/>
    <w:rsid w:val="006A63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6A6325"/>
    <w:rPr>
      <w:sz w:val="24"/>
      <w:szCs w:val="24"/>
    </w:rPr>
  </w:style>
  <w:style w:type="character" w:customStyle="1" w:styleId="FooterChar">
    <w:name w:val="Footer Char"/>
    <w:link w:val="Footer"/>
    <w:rsid w:val="006A6325"/>
    <w:rPr>
      <w:sz w:val="24"/>
      <w:szCs w:val="24"/>
    </w:rPr>
  </w:style>
  <w:style w:type="character" w:styleId="CommentReference">
    <w:name w:val="annotation reference"/>
    <w:basedOn w:val="DefaultParagraphFont"/>
    <w:uiPriority w:val="99"/>
    <w:semiHidden/>
    <w:unhideWhenUsed/>
    <w:rsid w:val="003A697A"/>
    <w:rPr>
      <w:sz w:val="16"/>
      <w:szCs w:val="16"/>
    </w:rPr>
  </w:style>
  <w:style w:type="paragraph" w:styleId="CommentText">
    <w:name w:val="annotation text"/>
    <w:basedOn w:val="Normal"/>
    <w:link w:val="CommentTextChar"/>
    <w:uiPriority w:val="99"/>
    <w:unhideWhenUsed/>
    <w:rsid w:val="003A697A"/>
    <w:rPr>
      <w:sz w:val="20"/>
      <w:szCs w:val="20"/>
    </w:rPr>
  </w:style>
  <w:style w:type="character" w:customStyle="1" w:styleId="CommentTextChar">
    <w:name w:val="Comment Text Char"/>
    <w:basedOn w:val="DefaultParagraphFont"/>
    <w:link w:val="CommentText"/>
    <w:uiPriority w:val="99"/>
    <w:rsid w:val="003A697A"/>
    <w:rPr>
      <w:color w:val="000000"/>
    </w:rPr>
  </w:style>
  <w:style w:type="paragraph" w:styleId="CommentSubject">
    <w:name w:val="annotation subject"/>
    <w:basedOn w:val="CommentText"/>
    <w:next w:val="CommentText"/>
    <w:link w:val="CommentSubjectChar"/>
    <w:uiPriority w:val="99"/>
    <w:semiHidden/>
    <w:unhideWhenUsed/>
    <w:rsid w:val="003A697A"/>
    <w:rPr>
      <w:b/>
      <w:bCs/>
    </w:rPr>
  </w:style>
  <w:style w:type="character" w:customStyle="1" w:styleId="CommentSubjectChar">
    <w:name w:val="Comment Subject Char"/>
    <w:basedOn w:val="CommentTextChar"/>
    <w:link w:val="CommentSubject"/>
    <w:uiPriority w:val="99"/>
    <w:semiHidden/>
    <w:rsid w:val="003A697A"/>
    <w:rPr>
      <w:b/>
      <w:bCs/>
      <w:color w:val="000000"/>
    </w:rPr>
  </w:style>
  <w:style w:type="paragraph" w:styleId="ListParagraph">
    <w:name w:val="List Paragraph"/>
    <w:basedOn w:val="Normal"/>
    <w:uiPriority w:val="34"/>
    <w:qFormat/>
    <w:rsid w:val="00F71835"/>
    <w:pPr>
      <w:ind w:left="720"/>
      <w:contextualSpacing/>
    </w:pPr>
  </w:style>
  <w:style w:type="paragraph" w:styleId="Revision">
    <w:name w:val="Revision"/>
    <w:hidden/>
    <w:uiPriority w:val="99"/>
    <w:semiHidden/>
    <w:rsid w:val="0051302D"/>
    <w:rPr>
      <w:color w:val="000000"/>
      <w:sz w:val="24"/>
      <w:szCs w:val="24"/>
    </w:rPr>
  </w:style>
  <w:style w:type="paragraph" w:styleId="BodyTextIndent">
    <w:name w:val="Body Text Indent"/>
    <w:basedOn w:val="Normal"/>
    <w:link w:val="BodyTextIndentChar"/>
    <w:uiPriority w:val="99"/>
    <w:semiHidden/>
    <w:unhideWhenUsed/>
    <w:rsid w:val="00E475B3"/>
    <w:pPr>
      <w:spacing w:after="120"/>
      <w:ind w:left="360"/>
    </w:pPr>
  </w:style>
  <w:style w:type="character" w:customStyle="1" w:styleId="BodyTextIndentChar">
    <w:name w:val="Body Text Indent Char"/>
    <w:basedOn w:val="DefaultParagraphFont"/>
    <w:link w:val="BodyTextIndent"/>
    <w:uiPriority w:val="99"/>
    <w:semiHidden/>
    <w:rsid w:val="00E475B3"/>
    <w:rPr>
      <w:color w:val="000000"/>
      <w:sz w:val="24"/>
      <w:szCs w:val="24"/>
    </w:rPr>
  </w:style>
  <w:style w:type="paragraph" w:styleId="NormalWeb">
    <w:name w:val="Normal (Web)"/>
    <w:basedOn w:val="Normal"/>
    <w:semiHidden/>
    <w:rsid w:val="00E475B3"/>
    <w:pPr>
      <w:overflowPunct w:val="0"/>
      <w:autoSpaceDE w:val="0"/>
      <w:autoSpaceDN w:val="0"/>
      <w:adjustRightInd w:val="0"/>
      <w:spacing w:before="100" w:after="100"/>
      <w:textAlignment w:val="baseline"/>
    </w:pPr>
    <w:rPr>
      <w:color w:val="auto"/>
      <w:szCs w:val="20"/>
    </w:rPr>
  </w:style>
  <w:style w:type="paragraph" w:customStyle="1" w:styleId="VBASubtitle2">
    <w:name w:val="VBA Subtitle 2"/>
    <w:basedOn w:val="Normal"/>
    <w:rsid w:val="00E475B3"/>
    <w:pPr>
      <w:overflowPunct w:val="0"/>
      <w:autoSpaceDE w:val="0"/>
      <w:autoSpaceDN w:val="0"/>
      <w:adjustRightInd w:val="0"/>
      <w:textAlignment w:val="baseline"/>
    </w:pPr>
    <w:rPr>
      <w:b/>
      <w:color w:val="auto"/>
      <w:szCs w:val="20"/>
    </w:rPr>
  </w:style>
  <w:style w:type="paragraph" w:customStyle="1" w:styleId="RFWpara">
    <w:name w:val="RFWpara"/>
    <w:basedOn w:val="Normal"/>
    <w:rsid w:val="00F92F61"/>
    <w:pPr>
      <w:ind w:left="288"/>
    </w:pPr>
    <w:rPr>
      <w:color w:val="auto"/>
    </w:rPr>
  </w:style>
  <w:style w:type="paragraph" w:customStyle="1" w:styleId="VBAbodytext">
    <w:name w:val="VBA body text"/>
    <w:basedOn w:val="Normal"/>
    <w:rsid w:val="00EC6216"/>
    <w:pPr>
      <w:overflowPunct w:val="0"/>
      <w:autoSpaceDE w:val="0"/>
      <w:autoSpaceDN w:val="0"/>
      <w:adjustRightInd w:val="0"/>
      <w:spacing w:before="120" w:after="240"/>
      <w:textAlignment w:val="baseline"/>
    </w:pPr>
    <w:rPr>
      <w:color w:val="auto"/>
      <w:szCs w:val="20"/>
    </w:rPr>
  </w:style>
  <w:style w:type="paragraph" w:customStyle="1" w:styleId="VSRHandoutHeading">
    <w:name w:val="VSR Handout Heading"/>
    <w:basedOn w:val="Normal"/>
    <w:next w:val="VBAbodytext"/>
    <w:rsid w:val="00EC6216"/>
    <w:pPr>
      <w:overflowPunct w:val="0"/>
      <w:autoSpaceDE w:val="0"/>
      <w:autoSpaceDN w:val="0"/>
      <w:adjustRightInd w:val="0"/>
      <w:spacing w:before="120" w:after="60"/>
      <w:jc w:val="center"/>
      <w:textAlignment w:val="baseline"/>
    </w:pPr>
    <w:rPr>
      <w:b/>
      <w:smallCaps/>
      <w:color w:val="auto"/>
      <w:sz w:val="28"/>
      <w:szCs w:val="20"/>
    </w:rPr>
  </w:style>
  <w:style w:type="paragraph" w:customStyle="1" w:styleId="Default">
    <w:name w:val="Default"/>
    <w:rsid w:val="00256306"/>
    <w:pPr>
      <w:autoSpaceDE w:val="0"/>
      <w:autoSpaceDN w:val="0"/>
      <w:adjustRightInd w:val="0"/>
    </w:pPr>
    <w:rPr>
      <w:rFonts w:ascii="Arial" w:eastAsiaTheme="minorHAnsi" w:hAnsi="Arial" w:cs="Arial"/>
      <w:color w:val="000000"/>
      <w:sz w:val="24"/>
      <w:szCs w:val="24"/>
    </w:rPr>
  </w:style>
  <w:style w:type="character" w:customStyle="1" w:styleId="Heading5Char">
    <w:name w:val="Heading 5 Char"/>
    <w:aliases w:val="Block Label Char"/>
    <w:basedOn w:val="DefaultParagraphFont"/>
    <w:link w:val="Heading5"/>
    <w:rsid w:val="00A958EE"/>
    <w:rPr>
      <w:b/>
      <w:color w:val="000000"/>
      <w:sz w:val="22"/>
    </w:rPr>
  </w:style>
  <w:style w:type="paragraph" w:styleId="HTMLPreformatted">
    <w:name w:val="HTML Preformatted"/>
    <w:basedOn w:val="Normal"/>
    <w:link w:val="HTMLPreformattedChar"/>
    <w:uiPriority w:val="99"/>
    <w:unhideWhenUsed/>
    <w:rsid w:val="0077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7717A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0100">
      <w:bodyDiv w:val="1"/>
      <w:marLeft w:val="0"/>
      <w:marRight w:val="0"/>
      <w:marTop w:val="0"/>
      <w:marBottom w:val="0"/>
      <w:divBdr>
        <w:top w:val="none" w:sz="0" w:space="0" w:color="auto"/>
        <w:left w:val="none" w:sz="0" w:space="0" w:color="auto"/>
        <w:bottom w:val="none" w:sz="0" w:space="0" w:color="auto"/>
        <w:right w:val="none" w:sz="0" w:space="0" w:color="auto"/>
      </w:divBdr>
    </w:div>
    <w:div w:id="925269410">
      <w:bodyDiv w:val="1"/>
      <w:marLeft w:val="0"/>
      <w:marRight w:val="0"/>
      <w:marTop w:val="0"/>
      <w:marBottom w:val="0"/>
      <w:divBdr>
        <w:top w:val="none" w:sz="0" w:space="0" w:color="auto"/>
        <w:left w:val="none" w:sz="0" w:space="0" w:color="auto"/>
        <w:bottom w:val="none" w:sz="0" w:space="0" w:color="auto"/>
        <w:right w:val="none" w:sz="0" w:space="0" w:color="auto"/>
      </w:divBdr>
    </w:div>
    <w:div w:id="2109810993">
      <w:bodyDiv w:val="1"/>
      <w:marLeft w:val="0"/>
      <w:marRight w:val="0"/>
      <w:marTop w:val="0"/>
      <w:marBottom w:val="0"/>
      <w:divBdr>
        <w:top w:val="none" w:sz="0" w:space="0" w:color="auto"/>
        <w:left w:val="none" w:sz="0" w:space="0" w:color="auto"/>
        <w:bottom w:val="none" w:sz="0" w:space="0" w:color="auto"/>
        <w:right w:val="none" w:sz="0" w:space="0" w:color="auto"/>
      </w:divBdr>
      <w:divsChild>
        <w:div w:id="448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law.cornell.edu/uscode/text/38/1112" TargetMode="External"/><Relationship Id="rId18" Type="http://schemas.openxmlformats.org/officeDocument/2006/relationships/hyperlink" Target="http://www.law.cornell.edu/uscode/html/uscode38/usc_sec_38_00001101----000-.html" TargetMode="External"/><Relationship Id="rId26" Type="http://schemas.openxmlformats.org/officeDocument/2006/relationships/hyperlink" Target="http://www.ecfr.gov/cgi-bin/text-idx?SID=eeb25614ff133ec52c6f89f62aa156dc&amp;mc=true&amp;node=se38.1.3_1159&amp;rgn=div8" TargetMode="External"/><Relationship Id="rId39" Type="http://schemas.openxmlformats.org/officeDocument/2006/relationships/hyperlink" Target="http://www.navy.mil/submit/display.asp?story_id=51453" TargetMode="External"/><Relationship Id="rId21" Type="http://schemas.openxmlformats.org/officeDocument/2006/relationships/hyperlink" Target="http://www.law.cornell.edu/uscode/html/uscode38/usc_sec_38_00001112----000-.html" TargetMode="External"/><Relationship Id="rId34" Type="http://schemas.openxmlformats.org/officeDocument/2006/relationships/hyperlink" Target="http://vaww.va.gov/vhapublications/ViewPublication.asp?pub_ID=3092" TargetMode="External"/><Relationship Id="rId42" Type="http://schemas.openxmlformats.org/officeDocument/2006/relationships/hyperlink" Target="http://books.nap.edu/catalog.php?record_id=12618" TargetMode="External"/><Relationship Id="rId47" Type="http://schemas.openxmlformats.org/officeDocument/2006/relationships/hyperlink" Target="http://ntp.niehs.nih.gov/testing/status/agents/ts-10176-t.html" TargetMode="External"/><Relationship Id="rId50" Type="http://schemas.openxmlformats.org/officeDocument/2006/relationships/hyperlink" Target="http://ntp.niehs.nih.gov/testing/status/agents/ts-10389-y.html" TargetMode="External"/><Relationship Id="rId55" Type="http://schemas.openxmlformats.org/officeDocument/2006/relationships/hyperlink" Target="http://cfpub.epa.gov/ncea/iris2/chemicalLanding.cfm?substance_nmbr=1001"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law.cornell.edu/uscode/html/uscode38/usc_sec_38_00001101----000-.html" TargetMode="External"/><Relationship Id="rId20" Type="http://schemas.openxmlformats.org/officeDocument/2006/relationships/hyperlink" Target="http://www.ecfr.gov/cgi-bin/text-idx?SID=eeb25614ff133ec52c6f89f62aa156dc&amp;mc=true&amp;node=se38.1.3_1159&amp;rgn=div8" TargetMode="External"/><Relationship Id="rId29" Type="http://schemas.openxmlformats.org/officeDocument/2006/relationships/hyperlink" Target="http://www.ecfr.gov/cgi-bin/text-idx?SID=eeb25614ff133ec52c6f89f62aa156dc&amp;mc=true&amp;node=se38.1.3_1303&amp;rgn=div8" TargetMode="External"/><Relationship Id="rId41" Type="http://schemas.openxmlformats.org/officeDocument/2006/relationships/hyperlink" Target="http://www.atsdr.cdc.gov/sites/lejeune/docs/feasibility_assessment_Lejeune.pdf" TargetMode="External"/><Relationship Id="rId54" Type="http://schemas.openxmlformats.org/officeDocument/2006/relationships/hyperlink" Target="http://www.atsdr.cdc.gov/ToxProfiles/tp.asp?id=282&amp;tid=51"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ecfr.gov/cgi-bin/text-idx?SID=eeb25614ff133ec52c6f89f62aa156dc&amp;mc=true&amp;node=se38.1.3_1307&amp;rgn=div8" TargetMode="External"/><Relationship Id="rId32" Type="http://schemas.openxmlformats.org/officeDocument/2006/relationships/hyperlink" Target="http://vaww.publichealth.va.gov/exposures/shad/resources.asp" TargetMode="External"/><Relationship Id="rId37" Type="http://schemas.openxmlformats.org/officeDocument/2006/relationships/hyperlink" Target="https://clnr.hqi.usmc.mil/clwater/index.html" TargetMode="External"/><Relationship Id="rId40" Type="http://schemas.openxmlformats.org/officeDocument/2006/relationships/hyperlink" Target="http://www.atsdr.cdc.gov/sites/lejeune/index.html" TargetMode="External"/><Relationship Id="rId45" Type="http://schemas.openxmlformats.org/officeDocument/2006/relationships/hyperlink" Target="http://www.atsdr.cdc.gov/toxfaqs/tf.asp?id=172&amp;tid=30" TargetMode="External"/><Relationship Id="rId53" Type="http://schemas.openxmlformats.org/officeDocument/2006/relationships/hyperlink" Target="http://ntp.niehs.nih.gov/testing/status/agents/ts-10961-h.html" TargetMode="External"/><Relationship Id="rId58"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ecfr.gov/cgi-bin/text-idx?SID=eeb25614ff133ec52c6f89f62aa156dc&amp;mc=true&amp;node=se38.1.3_1307&amp;rgn=div8" TargetMode="External"/><Relationship Id="rId23" Type="http://schemas.openxmlformats.org/officeDocument/2006/relationships/hyperlink" Target="http://www.law.cornell.edu/uscode/html/uscode38/usc_sec_38_00001137----000-.html" TargetMode="External"/><Relationship Id="rId28" Type="http://schemas.openxmlformats.org/officeDocument/2006/relationships/hyperlink" Target="http://www.law.cornell.edu/uscode/html/uscode38/usc_sec_38_00001154----000-.html" TargetMode="External"/><Relationship Id="rId36" Type="http://schemas.openxmlformats.org/officeDocument/2006/relationships/hyperlink" Target="http://www.med.navy.mil/sites/nmcphc/environmental-programs/Pages/Atsugi.aspx" TargetMode="External"/><Relationship Id="rId49" Type="http://schemas.openxmlformats.org/officeDocument/2006/relationships/hyperlink" Target="http://cfpub.epa.gov/ncea/iris2/chemicalLanding.cfm?substance_nmbr=106"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ecfr.gov/cgi-bin/text-idx?SID=eeb25614ff133ec52c6f89f62aa156dc&amp;mc=true&amp;node=se38.1.3_1309&amp;rgn=div8" TargetMode="External"/><Relationship Id="rId31" Type="http://schemas.openxmlformats.org/officeDocument/2006/relationships/hyperlink" Target="http://www.health.mil/Military-Health-Topics/Health-Readiness/Environmental-Exposures/Project-112-SHAD/Fact-Sheets" TargetMode="External"/><Relationship Id="rId44" Type="http://schemas.openxmlformats.org/officeDocument/2006/relationships/hyperlink" Target="http://ntp.niehs.nih.gov/testing/status/agents/ts-10175-p.html" TargetMode="External"/><Relationship Id="rId52" Type="http://schemas.openxmlformats.org/officeDocument/2006/relationships/hyperlink" Target="http://cfpub.epa.gov/ncea/iris2/chemicalLanding.cfm?substance_nmbr=276" TargetMode="External"/><Relationship Id="rId60"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law.cornell.edu/uscode/text/38/1133" TargetMode="External"/><Relationship Id="rId22" Type="http://schemas.openxmlformats.org/officeDocument/2006/relationships/hyperlink" Target="http://www.law.cornell.edu/uscode/html/uscode38/usc_sec_38_00001133----000-.html" TargetMode="External"/><Relationship Id="rId27" Type="http://schemas.openxmlformats.org/officeDocument/2006/relationships/hyperlink" Target="http://www.ecfr.gov/cgi-bin/text-idx?SID=eeb25614ff133ec52c6f89f62aa156dc&amp;mc=true&amp;node=se38.1.3_1304&amp;rgn=div8" TargetMode="External"/><Relationship Id="rId30" Type="http://schemas.openxmlformats.org/officeDocument/2006/relationships/hyperlink" Target="http://vbaw.vba.va.gov/bl/21/rating/rat00.htm" TargetMode="External"/><Relationship Id="rId35" Type="http://schemas.openxmlformats.org/officeDocument/2006/relationships/hyperlink" Target="http://www.health.mil/Military-Health-Topics/Health-Readiness/Environmental-Exposures/Project-112-SHAD/Fact-Sheets" TargetMode="External"/><Relationship Id="rId43" Type="http://schemas.openxmlformats.org/officeDocument/2006/relationships/hyperlink" Target="http://www.atsdr.cdc.gov/sites/lejeune/tce_pce.html" TargetMode="External"/><Relationship Id="rId48" Type="http://schemas.openxmlformats.org/officeDocument/2006/relationships/hyperlink" Target="http://www.atsdr.cdc.gov/toxfaqs/tf.asp?id=264&amp;tid=48" TargetMode="External"/><Relationship Id="rId56"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hyperlink" Target="http://www.atsdr.cdc.gov/ToxProfiles/TP.asp?id=40&amp;tid=14"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ecfr.gov/cgi-bin/text-idx?SID=eeb25614ff133ec52c6f89f62aa156dc&amp;mc=true&amp;node=se38.1.3_1309&amp;rgn=div8" TargetMode="External"/><Relationship Id="rId25" Type="http://schemas.openxmlformats.org/officeDocument/2006/relationships/hyperlink" Target="http://www.ecfr.gov/cgi-bin/text-idx?SID=eeb25614ff133ec52c6f89f62aa156dc&amp;mc=true&amp;node=se38.1.3_1159&amp;rgn=div8" TargetMode="External"/><Relationship Id="rId33" Type="http://schemas.openxmlformats.org/officeDocument/2006/relationships/hyperlink" Target="http://www.health.mil/Reference-Center/Congressional-Testimonies/2002/10/10/Winkenwerder-SHAD" TargetMode="External"/><Relationship Id="rId38" Type="http://schemas.openxmlformats.org/officeDocument/2006/relationships/hyperlink" Target="http://books.nap.edu/catalog.php?record_id=12618" TargetMode="External"/><Relationship Id="rId46" Type="http://schemas.openxmlformats.org/officeDocument/2006/relationships/hyperlink" Target="http://cfpub.epa.gov/ncea/iris2/chemicalLanding.cfm?substance_nmbr=199" TargetMode="External"/><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4.2\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76AF772BF364D8E899CBB1EA8E540" ma:contentTypeVersion="2" ma:contentTypeDescription="Create a new document." ma:contentTypeScope="" ma:versionID="f46cc7b5527e7c7d5dbbc0c04eeeb083">
  <xsd:schema xmlns:xsd="http://www.w3.org/2001/XMLSchema" xmlns:xs="http://www.w3.org/2001/XMLSchema" xmlns:p="http://schemas.microsoft.com/office/2006/metadata/properties" xmlns:ns2="b438dcf7-3998-4283-b7fc-0ec6fa8e430f" targetNamespace="http://schemas.microsoft.com/office/2006/metadata/properties" ma:root="true" ma:fieldsID="f3f4c0ff34dd50b43aae98cd4e8e0e68" ns2:_="">
    <xsd:import namespace="b438dcf7-3998-4283-b7fc-0ec6fa8e430f"/>
    <xsd:element name="properties">
      <xsd:complexType>
        <xsd:sequence>
          <xsd:element name="documentManagement">
            <xsd:complexType>
              <xsd:all>
                <xsd:element ref="ns2:Orde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dcf7-3998-4283-b7fc-0ec6fa8e430f" elementFormDefault="qualified">
    <xsd:import namespace="http://schemas.microsoft.com/office/2006/documentManagement/types"/>
    <xsd:import namespace="http://schemas.microsoft.com/office/infopath/2007/PartnerControls"/>
    <xsd:element name="Order0" ma:index="8" ma:displayName="Order" ma:internalName="Order0"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r0 xmlns="b438dcf7-3998-4283-b7fc-0ec6fa8e430f">1</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CD1A-AE63-4655-AADB-5600954B6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dcf7-3998-4283-b7fc-0ec6fa8e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94581-45D3-4D27-89FD-77994343E1EB}">
  <ds:schemaRefs>
    <ds:schemaRef ds:uri="b438dcf7-3998-4283-b7fc-0ec6fa8e430f"/>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9477CED-C5ED-4D57-BE53-381BEFAE0412}">
  <ds:schemaRefs>
    <ds:schemaRef ds:uri="http://schemas.microsoft.com/sharepoint/v3/contenttype/forms"/>
  </ds:schemaRefs>
</ds:datastoreItem>
</file>

<file path=customXml/itemProps4.xml><?xml version="1.0" encoding="utf-8"?>
<ds:datastoreItem xmlns:ds="http://schemas.openxmlformats.org/officeDocument/2006/customXml" ds:itemID="{12330BAD-EC99-4DC2-8A63-4EF89816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FSPro.dotm</Template>
  <TotalTime>1578</TotalTime>
  <Pages>51</Pages>
  <Words>12139</Words>
  <Characters>75002</Characters>
  <Application>Microsoft Office Word</Application>
  <DocSecurity>0</DocSecurity>
  <Lines>625</Lines>
  <Paragraphs>173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86968</CharactersWithSpaces>
  <SharedDoc>false</SharedDoc>
  <HLinks>
    <vt:vector size="414" baseType="variant">
      <vt:variant>
        <vt:i4>3932204</vt:i4>
      </vt:variant>
      <vt:variant>
        <vt:i4>273</vt:i4>
      </vt:variant>
      <vt:variant>
        <vt:i4>0</vt:i4>
      </vt:variant>
      <vt:variant>
        <vt:i4>5</vt:i4>
      </vt:variant>
      <vt:variant>
        <vt:lpwstr>imi-internal:M21-1MRIV.ii.1.H.32.i</vt:lpwstr>
      </vt:variant>
      <vt:variant>
        <vt:lpwstr/>
      </vt:variant>
      <vt:variant>
        <vt:i4>3997740</vt:i4>
      </vt:variant>
      <vt:variant>
        <vt:i4>270</vt:i4>
      </vt:variant>
      <vt:variant>
        <vt:i4>0</vt:i4>
      </vt:variant>
      <vt:variant>
        <vt:i4>5</vt:i4>
      </vt:variant>
      <vt:variant>
        <vt:lpwstr>imi-internal:M21-1MRIV.ii.1.H.32.h</vt:lpwstr>
      </vt:variant>
      <vt:variant>
        <vt:lpwstr/>
      </vt:variant>
      <vt:variant>
        <vt:i4>6619203</vt:i4>
      </vt:variant>
      <vt:variant>
        <vt:i4>264</vt:i4>
      </vt:variant>
      <vt:variant>
        <vt:i4>0</vt:i4>
      </vt:variant>
      <vt:variant>
        <vt:i4>5</vt:i4>
      </vt:variant>
      <vt:variant>
        <vt:lpwstr>http://www.warms.vba.va.gov/regs/38CFR/BOOKB/PART3/S3_303.DOC</vt:lpwstr>
      </vt:variant>
      <vt:variant>
        <vt:lpwstr/>
      </vt:variant>
      <vt:variant>
        <vt:i4>983154</vt:i4>
      </vt:variant>
      <vt:variant>
        <vt:i4>261</vt:i4>
      </vt:variant>
      <vt:variant>
        <vt:i4>0</vt:i4>
      </vt:variant>
      <vt:variant>
        <vt:i4>5</vt:i4>
      </vt:variant>
      <vt:variant>
        <vt:lpwstr>http://www.law.cornell.edu/uscode/html/uscode38/usc_sec_38_00001154----000-.html</vt:lpwstr>
      </vt:variant>
      <vt:variant>
        <vt:lpwstr/>
      </vt:variant>
      <vt:variant>
        <vt:i4>3145775</vt:i4>
      </vt:variant>
      <vt:variant>
        <vt:i4>258</vt:i4>
      </vt:variant>
      <vt:variant>
        <vt:i4>0</vt:i4>
      </vt:variant>
      <vt:variant>
        <vt:i4>5</vt:i4>
      </vt:variant>
      <vt:variant>
        <vt:lpwstr>imi-internal:M21-1MRIV.ii.2.H.32.e</vt:lpwstr>
      </vt:variant>
      <vt:variant>
        <vt:lpwstr/>
      </vt:variant>
      <vt:variant>
        <vt:i4>8060975</vt:i4>
      </vt:variant>
      <vt:variant>
        <vt:i4>252</vt:i4>
      </vt:variant>
      <vt:variant>
        <vt:i4>0</vt:i4>
      </vt:variant>
      <vt:variant>
        <vt:i4>5</vt:i4>
      </vt:variant>
      <vt:variant>
        <vt:lpwstr>imi-internal:M21-1MRIII.ii.6.5</vt:lpwstr>
      </vt:variant>
      <vt:variant>
        <vt:lpwstr/>
      </vt:variant>
      <vt:variant>
        <vt:i4>7864436</vt:i4>
      </vt:variant>
      <vt:variant>
        <vt:i4>249</vt:i4>
      </vt:variant>
      <vt:variant>
        <vt:i4>0</vt:i4>
      </vt:variant>
      <vt:variant>
        <vt:i4>5</vt:i4>
      </vt:variant>
      <vt:variant>
        <vt:lpwstr>imi-internal:M21-1MRIII.iii.2.A</vt:lpwstr>
      </vt:variant>
      <vt:variant>
        <vt:lpwstr/>
      </vt:variant>
      <vt:variant>
        <vt:i4>7864439</vt:i4>
      </vt:variant>
      <vt:variant>
        <vt:i4>246</vt:i4>
      </vt:variant>
      <vt:variant>
        <vt:i4>0</vt:i4>
      </vt:variant>
      <vt:variant>
        <vt:i4>5</vt:i4>
      </vt:variant>
      <vt:variant>
        <vt:lpwstr>imi-internal:M21-1MRIII.iii.1.C</vt:lpwstr>
      </vt:variant>
      <vt:variant>
        <vt:lpwstr/>
      </vt:variant>
      <vt:variant>
        <vt:i4>7864439</vt:i4>
      </vt:variant>
      <vt:variant>
        <vt:i4>243</vt:i4>
      </vt:variant>
      <vt:variant>
        <vt:i4>0</vt:i4>
      </vt:variant>
      <vt:variant>
        <vt:i4>5</vt:i4>
      </vt:variant>
      <vt:variant>
        <vt:lpwstr>imi-internal:M21-1MRIII.iii.1.B</vt:lpwstr>
      </vt:variant>
      <vt:variant>
        <vt:lpwstr/>
      </vt:variant>
      <vt:variant>
        <vt:i4>4128812</vt:i4>
      </vt:variant>
      <vt:variant>
        <vt:i4>240</vt:i4>
      </vt:variant>
      <vt:variant>
        <vt:i4>0</vt:i4>
      </vt:variant>
      <vt:variant>
        <vt:i4>5</vt:i4>
      </vt:variant>
      <vt:variant>
        <vt:lpwstr>imi-internal:M21-1MRIV.ii.1.H.32.j</vt:lpwstr>
      </vt:variant>
      <vt:variant>
        <vt:lpwstr/>
      </vt:variant>
      <vt:variant>
        <vt:i4>5636175</vt:i4>
      </vt:variant>
      <vt:variant>
        <vt:i4>237</vt:i4>
      </vt:variant>
      <vt:variant>
        <vt:i4>0</vt:i4>
      </vt:variant>
      <vt:variant>
        <vt:i4>5</vt:i4>
      </vt:variant>
      <vt:variant>
        <vt:lpwstr>imi-internal:M21-1MRI.1.B.3.b</vt:lpwstr>
      </vt:variant>
      <vt:variant>
        <vt:lpwstr/>
      </vt:variant>
      <vt:variant>
        <vt:i4>3342380</vt:i4>
      </vt:variant>
      <vt:variant>
        <vt:i4>231</vt:i4>
      </vt:variant>
      <vt:variant>
        <vt:i4>0</vt:i4>
      </vt:variant>
      <vt:variant>
        <vt:i4>5</vt:i4>
      </vt:variant>
      <vt:variant>
        <vt:lpwstr>imi-internal:M21-1MRIV.ii.1.H.32.f</vt:lpwstr>
      </vt:variant>
      <vt:variant>
        <vt:lpwstr/>
      </vt:variant>
      <vt:variant>
        <vt:i4>2359341</vt:i4>
      </vt:variant>
      <vt:variant>
        <vt:i4>228</vt:i4>
      </vt:variant>
      <vt:variant>
        <vt:i4>0</vt:i4>
      </vt:variant>
      <vt:variant>
        <vt:i4>5</vt:i4>
      </vt:variant>
      <vt:variant>
        <vt:lpwstr>http://vbaw.vba.va.gov/usb/letters/2007/VBA Letter 20-07-19.Revised.DOC</vt:lpwstr>
      </vt:variant>
      <vt:variant>
        <vt:lpwstr/>
      </vt:variant>
      <vt:variant>
        <vt:i4>3407916</vt:i4>
      </vt:variant>
      <vt:variant>
        <vt:i4>225</vt:i4>
      </vt:variant>
      <vt:variant>
        <vt:i4>0</vt:i4>
      </vt:variant>
      <vt:variant>
        <vt:i4>5</vt:i4>
      </vt:variant>
      <vt:variant>
        <vt:lpwstr>imi-internal:M21-1MRIV.ii.1.H.32.a</vt:lpwstr>
      </vt:variant>
      <vt:variant>
        <vt:lpwstr/>
      </vt:variant>
      <vt:variant>
        <vt:i4>6619237</vt:i4>
      </vt:variant>
      <vt:variant>
        <vt:i4>219</vt:i4>
      </vt:variant>
      <vt:variant>
        <vt:i4>0</vt:i4>
      </vt:variant>
      <vt:variant>
        <vt:i4>5</vt:i4>
      </vt:variant>
      <vt:variant>
        <vt:lpwstr>http://vbaw.vba.va.gov/bl/21/publicat/Letters/TrngLtrs/TL11-03.doc</vt:lpwstr>
      </vt:variant>
      <vt:variant>
        <vt:lpwstr/>
      </vt:variant>
      <vt:variant>
        <vt:i4>3342380</vt:i4>
      </vt:variant>
      <vt:variant>
        <vt:i4>216</vt:i4>
      </vt:variant>
      <vt:variant>
        <vt:i4>0</vt:i4>
      </vt:variant>
      <vt:variant>
        <vt:i4>5</vt:i4>
      </vt:variant>
      <vt:variant>
        <vt:lpwstr>imi-internal:M21-1MRIV.ii.1.H.32.f</vt:lpwstr>
      </vt:variant>
      <vt:variant>
        <vt:lpwstr/>
      </vt:variant>
      <vt:variant>
        <vt:i4>5505032</vt:i4>
      </vt:variant>
      <vt:variant>
        <vt:i4>213</vt:i4>
      </vt:variant>
      <vt:variant>
        <vt:i4>0</vt:i4>
      </vt:variant>
      <vt:variant>
        <vt:i4>5</vt:i4>
      </vt:variant>
      <vt:variant>
        <vt:lpwstr>imi-internal:M21-1MRIV.ii.2.C.13</vt:lpwstr>
      </vt:variant>
      <vt:variant>
        <vt:lpwstr/>
      </vt:variant>
      <vt:variant>
        <vt:i4>6619236</vt:i4>
      </vt:variant>
      <vt:variant>
        <vt:i4>210</vt:i4>
      </vt:variant>
      <vt:variant>
        <vt:i4>0</vt:i4>
      </vt:variant>
      <vt:variant>
        <vt:i4>5</vt:i4>
      </vt:variant>
      <vt:variant>
        <vt:lpwstr>http://vbaw.vba.va.gov/bl/21/publicat/Letters/TrngLtrs/TL10-03.doc</vt:lpwstr>
      </vt:variant>
      <vt:variant>
        <vt:lpwstr/>
      </vt:variant>
      <vt:variant>
        <vt:i4>6619204</vt:i4>
      </vt:variant>
      <vt:variant>
        <vt:i4>204</vt:i4>
      </vt:variant>
      <vt:variant>
        <vt:i4>0</vt:i4>
      </vt:variant>
      <vt:variant>
        <vt:i4>5</vt:i4>
      </vt:variant>
      <vt:variant>
        <vt:lpwstr>http://www.warms.vba.va.gov/regs/38CFR/BOOKB/PART3/S3_304.DOC</vt:lpwstr>
      </vt:variant>
      <vt:variant>
        <vt:lpwstr/>
      </vt:variant>
      <vt:variant>
        <vt:i4>3276844</vt:i4>
      </vt:variant>
      <vt:variant>
        <vt:i4>192</vt:i4>
      </vt:variant>
      <vt:variant>
        <vt:i4>0</vt:i4>
      </vt:variant>
      <vt:variant>
        <vt:i4>5</vt:i4>
      </vt:variant>
      <vt:variant>
        <vt:lpwstr>imi-internal:M21-1MRIV.ii.1.H.31.d</vt:lpwstr>
      </vt:variant>
      <vt:variant>
        <vt:lpwstr/>
      </vt:variant>
      <vt:variant>
        <vt:i4>3473452</vt:i4>
      </vt:variant>
      <vt:variant>
        <vt:i4>189</vt:i4>
      </vt:variant>
      <vt:variant>
        <vt:i4>0</vt:i4>
      </vt:variant>
      <vt:variant>
        <vt:i4>5</vt:i4>
      </vt:variant>
      <vt:variant>
        <vt:lpwstr>imi-internal:M21-1MRIV.ii.1.H.31.c</vt:lpwstr>
      </vt:variant>
      <vt:variant>
        <vt:lpwstr/>
      </vt:variant>
      <vt:variant>
        <vt:i4>6291531</vt:i4>
      </vt:variant>
      <vt:variant>
        <vt:i4>183</vt:i4>
      </vt:variant>
      <vt:variant>
        <vt:i4>0</vt:i4>
      </vt:variant>
      <vt:variant>
        <vt:i4>5</vt:i4>
      </vt:variant>
      <vt:variant>
        <vt:lpwstr>http://www.warms.vba.va.gov/regs/38CFR/BOOKB/PART3/S3_159.DOC</vt:lpwstr>
      </vt:variant>
      <vt:variant>
        <vt:lpwstr/>
      </vt:variant>
      <vt:variant>
        <vt:i4>5636175</vt:i4>
      </vt:variant>
      <vt:variant>
        <vt:i4>180</vt:i4>
      </vt:variant>
      <vt:variant>
        <vt:i4>0</vt:i4>
      </vt:variant>
      <vt:variant>
        <vt:i4>5</vt:i4>
      </vt:variant>
      <vt:variant>
        <vt:lpwstr>imi-internal:M21-1MRI.1.B.3.a</vt:lpwstr>
      </vt:variant>
      <vt:variant>
        <vt:lpwstr/>
      </vt:variant>
      <vt:variant>
        <vt:i4>5636175</vt:i4>
      </vt:variant>
      <vt:variant>
        <vt:i4>174</vt:i4>
      </vt:variant>
      <vt:variant>
        <vt:i4>0</vt:i4>
      </vt:variant>
      <vt:variant>
        <vt:i4>5</vt:i4>
      </vt:variant>
      <vt:variant>
        <vt:lpwstr>imi-internal:M21-1MRI.1.B.3.a</vt:lpwstr>
      </vt:variant>
      <vt:variant>
        <vt:lpwstr/>
      </vt:variant>
      <vt:variant>
        <vt:i4>6291531</vt:i4>
      </vt:variant>
      <vt:variant>
        <vt:i4>171</vt:i4>
      </vt:variant>
      <vt:variant>
        <vt:i4>0</vt:i4>
      </vt:variant>
      <vt:variant>
        <vt:i4>5</vt:i4>
      </vt:variant>
      <vt:variant>
        <vt:lpwstr>http://www.warms.vba.va.gov/regs/38CFR/BOOKB/PART3/S3_159.DOC</vt:lpwstr>
      </vt:variant>
      <vt:variant>
        <vt:lpwstr/>
      </vt:variant>
      <vt:variant>
        <vt:i4>6750265</vt:i4>
      </vt:variant>
      <vt:variant>
        <vt:i4>165</vt:i4>
      </vt:variant>
      <vt:variant>
        <vt:i4>0</vt:i4>
      </vt:variant>
      <vt:variant>
        <vt:i4>5</vt:i4>
      </vt:variant>
      <vt:variant>
        <vt:lpwstr>imi-internal:M21-1MRIV.ii.2.C.9</vt:lpwstr>
      </vt:variant>
      <vt:variant>
        <vt:lpwstr/>
      </vt:variant>
      <vt:variant>
        <vt:i4>7929872</vt:i4>
      </vt:variant>
      <vt:variant>
        <vt:i4>162</vt:i4>
      </vt:variant>
      <vt:variant>
        <vt:i4>0</vt:i4>
      </vt:variant>
      <vt:variant>
        <vt:i4>5</vt:i4>
      </vt:variant>
      <vt:variant>
        <vt:lpwstr>http://www.law.cornell.edu/uscode/html/uscode38/usc_sup_01_38_10_II_20_18.html</vt:lpwstr>
      </vt:variant>
      <vt:variant>
        <vt:lpwstr/>
      </vt:variant>
      <vt:variant>
        <vt:i4>8061016</vt:i4>
      </vt:variant>
      <vt:variant>
        <vt:i4>159</vt:i4>
      </vt:variant>
      <vt:variant>
        <vt:i4>0</vt:i4>
      </vt:variant>
      <vt:variant>
        <vt:i4>5</vt:i4>
      </vt:variant>
      <vt:variant>
        <vt:lpwstr>http://vbaw.vba.va.gov/bl/21/publicat/Regs/Part3/3_815.htm</vt:lpwstr>
      </vt:variant>
      <vt:variant>
        <vt:lpwstr/>
      </vt:variant>
      <vt:variant>
        <vt:i4>6553679</vt:i4>
      </vt:variant>
      <vt:variant>
        <vt:i4>156</vt:i4>
      </vt:variant>
      <vt:variant>
        <vt:i4>0</vt:i4>
      </vt:variant>
      <vt:variant>
        <vt:i4>5</vt:i4>
      </vt:variant>
      <vt:variant>
        <vt:lpwstr>http://www.warms.vba.va.gov/regs/38CFR/BOOKB/PART3/S3_814.DOC</vt:lpwstr>
      </vt:variant>
      <vt:variant>
        <vt:lpwstr/>
      </vt:variant>
      <vt:variant>
        <vt:i4>3145790</vt:i4>
      </vt:variant>
      <vt:variant>
        <vt:i4>153</vt:i4>
      </vt:variant>
      <vt:variant>
        <vt:i4>0</vt:i4>
      </vt:variant>
      <vt:variant>
        <vt:i4>5</vt:i4>
      </vt:variant>
      <vt:variant>
        <vt:lpwstr>http://vbaw.vba.va.gov/BL/21/M21/content/contents.asp?address=M21-1MRVI</vt:lpwstr>
      </vt:variant>
      <vt:variant>
        <vt:lpwstr/>
      </vt:variant>
      <vt:variant>
        <vt:i4>3145790</vt:i4>
      </vt:variant>
      <vt:variant>
        <vt:i4>150</vt:i4>
      </vt:variant>
      <vt:variant>
        <vt:i4>0</vt:i4>
      </vt:variant>
      <vt:variant>
        <vt:i4>5</vt:i4>
      </vt:variant>
      <vt:variant>
        <vt:lpwstr>http://vbaw.vba.va.gov/BL/21/M21/content/contents.asp?address=M21-1MRVI</vt:lpwstr>
      </vt:variant>
      <vt:variant>
        <vt:lpwstr/>
      </vt:variant>
      <vt:variant>
        <vt:i4>1441801</vt:i4>
      </vt:variant>
      <vt:variant>
        <vt:i4>147</vt:i4>
      </vt:variant>
      <vt:variant>
        <vt:i4>0</vt:i4>
      </vt:variant>
      <vt:variant>
        <vt:i4>5</vt:i4>
      </vt:variant>
      <vt:variant>
        <vt:lpwstr>http://www.history.navy.mil/branches/dictvol1.htm</vt:lpwstr>
      </vt:variant>
      <vt:variant>
        <vt:lpwstr/>
      </vt:variant>
      <vt:variant>
        <vt:i4>1310726</vt:i4>
      </vt:variant>
      <vt:variant>
        <vt:i4>141</vt:i4>
      </vt:variant>
      <vt:variant>
        <vt:i4>0</vt:i4>
      </vt:variant>
      <vt:variant>
        <vt:i4>5</vt:i4>
      </vt:variant>
      <vt:variant>
        <vt:lpwstr>imi-internal:M21-1MRIII.iii.2.K.76.t</vt:lpwstr>
      </vt:variant>
      <vt:variant>
        <vt:lpwstr/>
      </vt:variant>
      <vt:variant>
        <vt:i4>7667747</vt:i4>
      </vt:variant>
      <vt:variant>
        <vt:i4>129</vt:i4>
      </vt:variant>
      <vt:variant>
        <vt:i4>0</vt:i4>
      </vt:variant>
      <vt:variant>
        <vt:i4>5</vt:i4>
      </vt:variant>
      <vt:variant>
        <vt:lpwstr>http://vbaw.vba.va.gov/bl/21/rating/VENavyShip.htm</vt:lpwstr>
      </vt:variant>
      <vt:variant>
        <vt:lpwstr/>
      </vt:variant>
      <vt:variant>
        <vt:i4>3866662</vt:i4>
      </vt:variant>
      <vt:variant>
        <vt:i4>126</vt:i4>
      </vt:variant>
      <vt:variant>
        <vt:i4>0</vt:i4>
      </vt:variant>
      <vt:variant>
        <vt:i4>5</vt:i4>
      </vt:variant>
      <vt:variant>
        <vt:lpwstr>imi-internal:M21-1MRIV.ii.2.C.10.l</vt:lpwstr>
      </vt:variant>
      <vt:variant>
        <vt:lpwstr/>
      </vt:variant>
      <vt:variant>
        <vt:i4>5636175</vt:i4>
      </vt:variant>
      <vt:variant>
        <vt:i4>120</vt:i4>
      </vt:variant>
      <vt:variant>
        <vt:i4>0</vt:i4>
      </vt:variant>
      <vt:variant>
        <vt:i4>5</vt:i4>
      </vt:variant>
      <vt:variant>
        <vt:lpwstr>imi-internal:M21-1MRI.1.B.3.a</vt:lpwstr>
      </vt:variant>
      <vt:variant>
        <vt:lpwstr/>
      </vt:variant>
      <vt:variant>
        <vt:i4>6291531</vt:i4>
      </vt:variant>
      <vt:variant>
        <vt:i4>117</vt:i4>
      </vt:variant>
      <vt:variant>
        <vt:i4>0</vt:i4>
      </vt:variant>
      <vt:variant>
        <vt:i4>5</vt:i4>
      </vt:variant>
      <vt:variant>
        <vt:lpwstr>http://www.warms.vba.va.gov/regs/38CFR/BOOKB/PART3/S3_159.DOC</vt:lpwstr>
      </vt:variant>
      <vt:variant>
        <vt:lpwstr/>
      </vt:variant>
      <vt:variant>
        <vt:i4>2293798</vt:i4>
      </vt:variant>
      <vt:variant>
        <vt:i4>111</vt:i4>
      </vt:variant>
      <vt:variant>
        <vt:i4>0</vt:i4>
      </vt:variant>
      <vt:variant>
        <vt:i4>5</vt:i4>
      </vt:variant>
      <vt:variant>
        <vt:lpwstr>imi-internal:M21-1MRIV.ii.2.C.10.t</vt:lpwstr>
      </vt:variant>
      <vt:variant>
        <vt:lpwstr/>
      </vt:variant>
      <vt:variant>
        <vt:i4>6553667</vt:i4>
      </vt:variant>
      <vt:variant>
        <vt:i4>108</vt:i4>
      </vt:variant>
      <vt:variant>
        <vt:i4>0</vt:i4>
      </vt:variant>
      <vt:variant>
        <vt:i4>5</vt:i4>
      </vt:variant>
      <vt:variant>
        <vt:lpwstr>http://www.warms.vba.va.gov/regs/38CFR/BOOKB/PART3/S3_313.DOC</vt:lpwstr>
      </vt:variant>
      <vt:variant>
        <vt:lpwstr/>
      </vt:variant>
      <vt:variant>
        <vt:i4>6553667</vt:i4>
      </vt:variant>
      <vt:variant>
        <vt:i4>105</vt:i4>
      </vt:variant>
      <vt:variant>
        <vt:i4>0</vt:i4>
      </vt:variant>
      <vt:variant>
        <vt:i4>5</vt:i4>
      </vt:variant>
      <vt:variant>
        <vt:lpwstr>http://www.warms.vba.va.gov/regs/38CFR/BOOKB/PART3/S3_313.DOC</vt:lpwstr>
      </vt:variant>
      <vt:variant>
        <vt:lpwstr/>
      </vt:variant>
      <vt:variant>
        <vt:i4>6619209</vt:i4>
      </vt:variant>
      <vt:variant>
        <vt:i4>102</vt:i4>
      </vt:variant>
      <vt:variant>
        <vt:i4>0</vt:i4>
      </vt:variant>
      <vt:variant>
        <vt:i4>5</vt:i4>
      </vt:variant>
      <vt:variant>
        <vt:lpwstr>http://www.warms.vba.va.gov/regs/38CFR/BOOKB/PART3/S3_309.DOC</vt:lpwstr>
      </vt:variant>
      <vt:variant>
        <vt:lpwstr/>
      </vt:variant>
      <vt:variant>
        <vt:i4>6619207</vt:i4>
      </vt:variant>
      <vt:variant>
        <vt:i4>99</vt:i4>
      </vt:variant>
      <vt:variant>
        <vt:i4>0</vt:i4>
      </vt:variant>
      <vt:variant>
        <vt:i4>5</vt:i4>
      </vt:variant>
      <vt:variant>
        <vt:lpwstr>http://www.warms.vba.va.gov/regs/38CFR/BOOKB/PART3/S3_307.DOC</vt:lpwstr>
      </vt:variant>
      <vt:variant>
        <vt:lpwstr/>
      </vt:variant>
      <vt:variant>
        <vt:i4>6553667</vt:i4>
      </vt:variant>
      <vt:variant>
        <vt:i4>96</vt:i4>
      </vt:variant>
      <vt:variant>
        <vt:i4>0</vt:i4>
      </vt:variant>
      <vt:variant>
        <vt:i4>5</vt:i4>
      </vt:variant>
      <vt:variant>
        <vt:lpwstr>http://www.warms.vba.va.gov/regs/38CFR/BOOKB/PART3/S3_313.DOC</vt:lpwstr>
      </vt:variant>
      <vt:variant>
        <vt:lpwstr/>
      </vt:variant>
      <vt:variant>
        <vt:i4>6619209</vt:i4>
      </vt:variant>
      <vt:variant>
        <vt:i4>93</vt:i4>
      </vt:variant>
      <vt:variant>
        <vt:i4>0</vt:i4>
      </vt:variant>
      <vt:variant>
        <vt:i4>5</vt:i4>
      </vt:variant>
      <vt:variant>
        <vt:lpwstr>http://www.warms.vba.va.gov/regs/38CFR/BOOKB/PART3/S3_309.DOC</vt:lpwstr>
      </vt:variant>
      <vt:variant>
        <vt:lpwstr/>
      </vt:variant>
      <vt:variant>
        <vt:i4>6619207</vt:i4>
      </vt:variant>
      <vt:variant>
        <vt:i4>90</vt:i4>
      </vt:variant>
      <vt:variant>
        <vt:i4>0</vt:i4>
      </vt:variant>
      <vt:variant>
        <vt:i4>5</vt:i4>
      </vt:variant>
      <vt:variant>
        <vt:lpwstr>http://www.warms.vba.va.gov/regs/38CFR/BOOKB/PART3/S3_307.DOC</vt:lpwstr>
      </vt:variant>
      <vt:variant>
        <vt:lpwstr/>
      </vt:variant>
      <vt:variant>
        <vt:i4>3538989</vt:i4>
      </vt:variant>
      <vt:variant>
        <vt:i4>84</vt:i4>
      </vt:variant>
      <vt:variant>
        <vt:i4>0</vt:i4>
      </vt:variant>
      <vt:variant>
        <vt:i4>5</vt:i4>
      </vt:variant>
      <vt:variant>
        <vt:lpwstr>imi-internal:M21-1MRIV.ii.1.H.28.i</vt:lpwstr>
      </vt:variant>
      <vt:variant>
        <vt:lpwstr/>
      </vt:variant>
      <vt:variant>
        <vt:i4>6619207</vt:i4>
      </vt:variant>
      <vt:variant>
        <vt:i4>78</vt:i4>
      </vt:variant>
      <vt:variant>
        <vt:i4>0</vt:i4>
      </vt:variant>
      <vt:variant>
        <vt:i4>5</vt:i4>
      </vt:variant>
      <vt:variant>
        <vt:lpwstr>http://www.warms.vba.va.gov/regs/38CFR/BOOKB/PART3/S3_307.DOC</vt:lpwstr>
      </vt:variant>
      <vt:variant>
        <vt:lpwstr/>
      </vt:variant>
      <vt:variant>
        <vt:i4>721008</vt:i4>
      </vt:variant>
      <vt:variant>
        <vt:i4>75</vt:i4>
      </vt:variant>
      <vt:variant>
        <vt:i4>0</vt:i4>
      </vt:variant>
      <vt:variant>
        <vt:i4>5</vt:i4>
      </vt:variant>
      <vt:variant>
        <vt:lpwstr>http://www.law.cornell.edu/uscode/html/uscode38/usc_sec_38_00001116----000-.html</vt:lpwstr>
      </vt:variant>
      <vt:variant>
        <vt:lpwstr/>
      </vt:variant>
      <vt:variant>
        <vt:i4>2555942</vt:i4>
      </vt:variant>
      <vt:variant>
        <vt:i4>72</vt:i4>
      </vt:variant>
      <vt:variant>
        <vt:i4>0</vt:i4>
      </vt:variant>
      <vt:variant>
        <vt:i4>5</vt:i4>
      </vt:variant>
      <vt:variant>
        <vt:lpwstr>imi-internal:M21-1MRIV.ii.2.C.10.p</vt:lpwstr>
      </vt:variant>
      <vt:variant>
        <vt:lpwstr/>
      </vt:variant>
      <vt:variant>
        <vt:i4>3670054</vt:i4>
      </vt:variant>
      <vt:variant>
        <vt:i4>69</vt:i4>
      </vt:variant>
      <vt:variant>
        <vt:i4>0</vt:i4>
      </vt:variant>
      <vt:variant>
        <vt:i4>5</vt:i4>
      </vt:variant>
      <vt:variant>
        <vt:lpwstr>imi-internal:M21-1MRIV.ii.2.C.10.o</vt:lpwstr>
      </vt:variant>
      <vt:variant>
        <vt:lpwstr/>
      </vt:variant>
      <vt:variant>
        <vt:i4>3604525</vt:i4>
      </vt:variant>
      <vt:variant>
        <vt:i4>66</vt:i4>
      </vt:variant>
      <vt:variant>
        <vt:i4>0</vt:i4>
      </vt:variant>
      <vt:variant>
        <vt:i4>5</vt:i4>
      </vt:variant>
      <vt:variant>
        <vt:lpwstr>imi-internal:M21-1MRIV.ii.1.H.28.h</vt:lpwstr>
      </vt:variant>
      <vt:variant>
        <vt:lpwstr/>
      </vt:variant>
      <vt:variant>
        <vt:i4>1900630</vt:i4>
      </vt:variant>
      <vt:variant>
        <vt:i4>63</vt:i4>
      </vt:variant>
      <vt:variant>
        <vt:i4>0</vt:i4>
      </vt:variant>
      <vt:variant>
        <vt:i4>5</vt:i4>
      </vt:variant>
      <vt:variant>
        <vt:lpwstr>http://www.va.gov/ogc/docs/1997/Prc27-97.doc</vt:lpwstr>
      </vt:variant>
      <vt:variant>
        <vt:lpwstr/>
      </vt:variant>
      <vt:variant>
        <vt:i4>6619209</vt:i4>
      </vt:variant>
      <vt:variant>
        <vt:i4>60</vt:i4>
      </vt:variant>
      <vt:variant>
        <vt:i4>0</vt:i4>
      </vt:variant>
      <vt:variant>
        <vt:i4>5</vt:i4>
      </vt:variant>
      <vt:variant>
        <vt:lpwstr>http://www.warms.vba.va.gov/regs/38CFR/BOOKB/PART3/S3_309.DOC</vt:lpwstr>
      </vt:variant>
      <vt:variant>
        <vt:lpwstr/>
      </vt:variant>
      <vt:variant>
        <vt:i4>6619207</vt:i4>
      </vt:variant>
      <vt:variant>
        <vt:i4>57</vt:i4>
      </vt:variant>
      <vt:variant>
        <vt:i4>0</vt:i4>
      </vt:variant>
      <vt:variant>
        <vt:i4>5</vt:i4>
      </vt:variant>
      <vt:variant>
        <vt:lpwstr>http://www.warms.vba.va.gov/regs/38CFR/BOOKB/PART3/S3_307.DOC</vt:lpwstr>
      </vt:variant>
      <vt:variant>
        <vt:lpwstr/>
      </vt:variant>
      <vt:variant>
        <vt:i4>6619207</vt:i4>
      </vt:variant>
      <vt:variant>
        <vt:i4>51</vt:i4>
      </vt:variant>
      <vt:variant>
        <vt:i4>0</vt:i4>
      </vt:variant>
      <vt:variant>
        <vt:i4>5</vt:i4>
      </vt:variant>
      <vt:variant>
        <vt:lpwstr>http://www.warms.vba.va.gov/regs/38CFR/BOOKB/PART3/S3_307.DOC</vt:lpwstr>
      </vt:variant>
      <vt:variant>
        <vt:lpwstr/>
      </vt:variant>
      <vt:variant>
        <vt:i4>589937</vt:i4>
      </vt:variant>
      <vt:variant>
        <vt:i4>48</vt:i4>
      </vt:variant>
      <vt:variant>
        <vt:i4>0</vt:i4>
      </vt:variant>
      <vt:variant>
        <vt:i4>5</vt:i4>
      </vt:variant>
      <vt:variant>
        <vt:lpwstr>http://www.law.cornell.edu/uscode/html/uscode38/usc_sec_38_00001137----000-.html</vt:lpwstr>
      </vt:variant>
      <vt:variant>
        <vt:lpwstr/>
      </vt:variant>
      <vt:variant>
        <vt:i4>589941</vt:i4>
      </vt:variant>
      <vt:variant>
        <vt:i4>45</vt:i4>
      </vt:variant>
      <vt:variant>
        <vt:i4>0</vt:i4>
      </vt:variant>
      <vt:variant>
        <vt:i4>5</vt:i4>
      </vt:variant>
      <vt:variant>
        <vt:lpwstr>http://www.law.cornell.edu/uscode/html/uscode38/usc_sec_38_00001133----000-.html</vt:lpwstr>
      </vt:variant>
      <vt:variant>
        <vt:lpwstr/>
      </vt:variant>
      <vt:variant>
        <vt:i4>721012</vt:i4>
      </vt:variant>
      <vt:variant>
        <vt:i4>42</vt:i4>
      </vt:variant>
      <vt:variant>
        <vt:i4>0</vt:i4>
      </vt:variant>
      <vt:variant>
        <vt:i4>5</vt:i4>
      </vt:variant>
      <vt:variant>
        <vt:lpwstr>http://www.law.cornell.edu/uscode/html/uscode38/usc_sec_38_00001112----000-.html</vt:lpwstr>
      </vt:variant>
      <vt:variant>
        <vt:lpwstr/>
      </vt:variant>
      <vt:variant>
        <vt:i4>6619209</vt:i4>
      </vt:variant>
      <vt:variant>
        <vt:i4>36</vt:i4>
      </vt:variant>
      <vt:variant>
        <vt:i4>0</vt:i4>
      </vt:variant>
      <vt:variant>
        <vt:i4>5</vt:i4>
      </vt:variant>
      <vt:variant>
        <vt:lpwstr>http://www.warms.vba.va.gov/regs/38CFR/BOOKB/PART3/S3_309.DOC</vt:lpwstr>
      </vt:variant>
      <vt:variant>
        <vt:lpwstr/>
      </vt:variant>
      <vt:variant>
        <vt:i4>655479</vt:i4>
      </vt:variant>
      <vt:variant>
        <vt:i4>33</vt:i4>
      </vt:variant>
      <vt:variant>
        <vt:i4>0</vt:i4>
      </vt:variant>
      <vt:variant>
        <vt:i4>5</vt:i4>
      </vt:variant>
      <vt:variant>
        <vt:lpwstr>http://www.law.cornell.edu/uscode/html/uscode38/usc_sec_38_00001101----000-.html</vt:lpwstr>
      </vt:variant>
      <vt:variant>
        <vt:lpwstr/>
      </vt:variant>
      <vt:variant>
        <vt:i4>6619209</vt:i4>
      </vt:variant>
      <vt:variant>
        <vt:i4>30</vt:i4>
      </vt:variant>
      <vt:variant>
        <vt:i4>0</vt:i4>
      </vt:variant>
      <vt:variant>
        <vt:i4>5</vt:i4>
      </vt:variant>
      <vt:variant>
        <vt:lpwstr>http://www.warms.vba.va.gov/regs/38CFR/BOOKB/PART3/S3_309.DOC</vt:lpwstr>
      </vt:variant>
      <vt:variant>
        <vt:lpwstr/>
      </vt:variant>
      <vt:variant>
        <vt:i4>655479</vt:i4>
      </vt:variant>
      <vt:variant>
        <vt:i4>27</vt:i4>
      </vt:variant>
      <vt:variant>
        <vt:i4>0</vt:i4>
      </vt:variant>
      <vt:variant>
        <vt:i4>5</vt:i4>
      </vt:variant>
      <vt:variant>
        <vt:lpwstr>http://www.law.cornell.edu/uscode/html/uscode38/usc_sec_38_00001101----000-.html</vt:lpwstr>
      </vt:variant>
      <vt:variant>
        <vt:lpwstr/>
      </vt:variant>
      <vt:variant>
        <vt:i4>6619207</vt:i4>
      </vt:variant>
      <vt:variant>
        <vt:i4>24</vt:i4>
      </vt:variant>
      <vt:variant>
        <vt:i4>0</vt:i4>
      </vt:variant>
      <vt:variant>
        <vt:i4>5</vt:i4>
      </vt:variant>
      <vt:variant>
        <vt:lpwstr>http://www.warms.vba.va.gov/regs/38CFR/BOOKB/PART3/S3_307.DOC</vt:lpwstr>
      </vt:variant>
      <vt:variant>
        <vt:lpwstr/>
      </vt:variant>
      <vt:variant>
        <vt:i4>589941</vt:i4>
      </vt:variant>
      <vt:variant>
        <vt:i4>21</vt:i4>
      </vt:variant>
      <vt:variant>
        <vt:i4>0</vt:i4>
      </vt:variant>
      <vt:variant>
        <vt:i4>5</vt:i4>
      </vt:variant>
      <vt:variant>
        <vt:lpwstr>http://www.law.cornell.edu/uscode/html/uscode38/usc_sec_38_00001133----000-.html</vt:lpwstr>
      </vt:variant>
      <vt:variant>
        <vt:lpwstr/>
      </vt:variant>
      <vt:variant>
        <vt:i4>721012</vt:i4>
      </vt:variant>
      <vt:variant>
        <vt:i4>18</vt:i4>
      </vt:variant>
      <vt:variant>
        <vt:i4>0</vt:i4>
      </vt:variant>
      <vt:variant>
        <vt:i4>5</vt:i4>
      </vt:variant>
      <vt:variant>
        <vt:lpwstr>http://www.law.cornell.edu/uscode/html/uscode38/usc_sec_38_00001112----000-.html</vt:lpwstr>
      </vt:variant>
      <vt:variant>
        <vt:lpwstr/>
      </vt:variant>
      <vt:variant>
        <vt:i4>3407917</vt:i4>
      </vt:variant>
      <vt:variant>
        <vt:i4>12</vt:i4>
      </vt:variant>
      <vt:variant>
        <vt:i4>0</vt:i4>
      </vt:variant>
      <vt:variant>
        <vt:i4>5</vt:i4>
      </vt:variant>
      <vt:variant>
        <vt:lpwstr>imi-internal:M21-1MRIV.ii.1.H.27.d</vt:lpwstr>
      </vt:variant>
      <vt:variant>
        <vt:lpwstr/>
      </vt:variant>
      <vt:variant>
        <vt:i4>6619207</vt:i4>
      </vt:variant>
      <vt:variant>
        <vt:i4>9</vt:i4>
      </vt:variant>
      <vt:variant>
        <vt:i4>0</vt:i4>
      </vt:variant>
      <vt:variant>
        <vt:i4>5</vt:i4>
      </vt:variant>
      <vt:variant>
        <vt:lpwstr>http://www.warms.vba.va.gov/regs/38CFR/BOOKB/PART3/S3_307.DOC</vt:lpwstr>
      </vt:variant>
      <vt:variant>
        <vt:lpwstr/>
      </vt:variant>
      <vt:variant>
        <vt:i4>983127</vt:i4>
      </vt:variant>
      <vt:variant>
        <vt:i4>6</vt:i4>
      </vt:variant>
      <vt:variant>
        <vt:i4>0</vt:i4>
      </vt:variant>
      <vt:variant>
        <vt:i4>5</vt:i4>
      </vt:variant>
      <vt:variant>
        <vt:lpwstr>imi-internal:M21-1MRIII.v.7.A.10</vt:lpwstr>
      </vt:variant>
      <vt:variant>
        <vt:lpwstr/>
      </vt:variant>
      <vt:variant>
        <vt:i4>983127</vt:i4>
      </vt:variant>
      <vt:variant>
        <vt:i4>0</vt:i4>
      </vt:variant>
      <vt:variant>
        <vt:i4>0</vt:i4>
      </vt:variant>
      <vt:variant>
        <vt:i4>5</vt:i4>
      </vt:variant>
      <vt:variant>
        <vt:lpwstr>imi-internal:M21-1MRIII.v.7.A.10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Claims for Service Connection for Other Diseases and Disabilities</dc:subject>
  <dc:creator>adjatoml</dc:creator>
  <cp:keywords>tropical, herbicides, RVN, diseases, asbestos</cp:keywords>
  <dc:description>Information on claims for service connection for several specific diseases and disabilities.</dc:description>
  <cp:lastModifiedBy>CAPLMAZA</cp:lastModifiedBy>
  <cp:revision>21</cp:revision>
  <cp:lastPrinted>2011-09-15T18:00:00Z</cp:lastPrinted>
  <dcterms:created xsi:type="dcterms:W3CDTF">2016-01-21T16:07:00Z</dcterms:created>
  <dcterms:modified xsi:type="dcterms:W3CDTF">2016-02-08T16:59:00Z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200610</vt:lpwstr>
  </property>
  <property fmtid="{D5CDD505-2E9C-101B-9397-08002B2CF9AE}" pid="3" name="DateReviewed">
    <vt:lpwstr>20110810</vt:lpwstr>
  </property>
  <property fmtid="{D5CDD505-2E9C-101B-9397-08002B2CF9AE}" pid="4" name="Language">
    <vt:lpwstr>en</vt:lpwstr>
  </property>
  <property fmtid="{D5CDD505-2E9C-101B-9397-08002B2CF9AE}" pid="5" name="Creator">
    <vt:lpwstr>Department of Veterans Affairs, Veterans Benefits Administration, Compensation Service, Procedures</vt:lpwstr>
  </property>
  <property fmtid="{D5CDD505-2E9C-101B-9397-08002B2CF9AE}" pid="6" name="Type">
    <vt:lpwstr>Manual</vt:lpwstr>
  </property>
  <property fmtid="{D5CDD505-2E9C-101B-9397-08002B2CF9AE}" pid="7" name="ContentTypeId">
    <vt:lpwstr>0x010100A3776AF772BF364D8E899CBB1EA8E540</vt:lpwstr>
  </property>
</Properties>
</file>